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D865C2" w14:textId="56C5CC58" w:rsidR="00FF1EFD" w:rsidRPr="00385677" w:rsidRDefault="00D42F33" w:rsidP="003804EF">
      <w:pPr>
        <w:jc w:val="center"/>
        <w:rPr>
          <w:b/>
          <w:bCs/>
          <w:color w:val="3B3B98"/>
          <w:sz w:val="28"/>
          <w:szCs w:val="28"/>
        </w:rPr>
      </w:pPr>
      <w:r w:rsidRPr="00385677">
        <w:rPr>
          <w:b/>
          <w:bCs/>
          <w:color w:val="3B3B98"/>
          <w:sz w:val="28"/>
          <w:szCs w:val="28"/>
        </w:rPr>
        <w:t>TERMO DE ANÁLISE E ATESTADO DE CREDENCIAMENTO DO ADMINISTRADOR OU GESTOR DE FUNDOS DE INVESTIMENTO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807"/>
        <w:gridCol w:w="2687"/>
      </w:tblGrid>
      <w:tr w:rsidR="006A19E0" w14:paraId="03DB28FC" w14:textId="77777777" w:rsidTr="00385677">
        <w:tc>
          <w:tcPr>
            <w:tcW w:w="5807" w:type="dxa"/>
            <w:shd w:val="clear" w:color="auto" w:fill="3B3B98"/>
          </w:tcPr>
          <w:p w14:paraId="7C1DB0DE" w14:textId="36E2A52A" w:rsidR="006A19E0" w:rsidRPr="00385677" w:rsidRDefault="006A19E0" w:rsidP="00D42F33">
            <w:pPr>
              <w:rPr>
                <w:b/>
                <w:bCs/>
                <w:color w:val="FFFFFF" w:themeColor="background1"/>
              </w:rPr>
            </w:pPr>
            <w:r w:rsidRPr="00385677">
              <w:rPr>
                <w:b/>
                <w:bCs/>
                <w:color w:val="FFFFFF" w:themeColor="background1"/>
              </w:rPr>
              <w:t>Número do Termo de Análise de Credenciamento</w:t>
            </w:r>
          </w:p>
        </w:tc>
        <w:tc>
          <w:tcPr>
            <w:tcW w:w="2687" w:type="dxa"/>
          </w:tcPr>
          <w:p w14:paraId="1A171DB3" w14:textId="77777777" w:rsidR="006A19E0" w:rsidRPr="00385677" w:rsidRDefault="006A19E0" w:rsidP="00D42F33">
            <w:pPr>
              <w:rPr>
                <w:b/>
                <w:bCs/>
                <w:color w:val="404040" w:themeColor="text1" w:themeTint="BF"/>
              </w:rPr>
            </w:pPr>
          </w:p>
        </w:tc>
      </w:tr>
      <w:tr w:rsidR="006A19E0" w14:paraId="423ED60F" w14:textId="77777777" w:rsidTr="00385677">
        <w:tc>
          <w:tcPr>
            <w:tcW w:w="5807" w:type="dxa"/>
            <w:shd w:val="clear" w:color="auto" w:fill="3B3B98"/>
          </w:tcPr>
          <w:p w14:paraId="09BFED91" w14:textId="059F2489" w:rsidR="006A19E0" w:rsidRPr="00385677" w:rsidRDefault="006A19E0" w:rsidP="00D42F33">
            <w:pPr>
              <w:rPr>
                <w:b/>
                <w:bCs/>
                <w:color w:val="FFFFFF" w:themeColor="background1"/>
              </w:rPr>
            </w:pPr>
            <w:r w:rsidRPr="00385677">
              <w:rPr>
                <w:b/>
                <w:bCs/>
                <w:color w:val="FFFFFF" w:themeColor="background1"/>
              </w:rPr>
              <w:t>Número do Processo</w:t>
            </w:r>
          </w:p>
        </w:tc>
        <w:tc>
          <w:tcPr>
            <w:tcW w:w="2687" w:type="dxa"/>
          </w:tcPr>
          <w:p w14:paraId="230998FD" w14:textId="77777777" w:rsidR="006A19E0" w:rsidRPr="00385677" w:rsidRDefault="006A19E0" w:rsidP="00D42F33">
            <w:pPr>
              <w:rPr>
                <w:b/>
                <w:bCs/>
                <w:color w:val="404040" w:themeColor="text1" w:themeTint="BF"/>
              </w:rPr>
            </w:pPr>
          </w:p>
        </w:tc>
      </w:tr>
    </w:tbl>
    <w:p w14:paraId="651D9A33" w14:textId="77777777" w:rsidR="00AA0BB3" w:rsidRDefault="00AA0BB3" w:rsidP="00D42F33">
      <w:pPr>
        <w:rPr>
          <w:b/>
          <w:bCs/>
        </w:rPr>
      </w:pPr>
    </w:p>
    <w:p w14:paraId="24F66C5E" w14:textId="7E41896B" w:rsidR="00AA0BB3" w:rsidRPr="00385677" w:rsidRDefault="00AA0BB3" w:rsidP="00D42F33">
      <w:pPr>
        <w:rPr>
          <w:b/>
          <w:bCs/>
          <w:color w:val="3B3B98"/>
          <w:sz w:val="28"/>
          <w:szCs w:val="28"/>
        </w:rPr>
      </w:pPr>
      <w:r w:rsidRPr="00385677">
        <w:rPr>
          <w:b/>
          <w:bCs/>
          <w:color w:val="3B3B98"/>
          <w:sz w:val="28"/>
          <w:szCs w:val="28"/>
        </w:rPr>
        <w:t>I - DO REGIME PRÓPRIO DE PREVIDÊNCIA SOCIAL – RPPS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382"/>
        <w:gridCol w:w="3112"/>
      </w:tblGrid>
      <w:tr w:rsidR="00385677" w:rsidRPr="00385677" w14:paraId="6C1C494B" w14:textId="77777777" w:rsidTr="00ED5712">
        <w:tc>
          <w:tcPr>
            <w:tcW w:w="5382" w:type="dxa"/>
          </w:tcPr>
          <w:p w14:paraId="27DADC30" w14:textId="226D187A" w:rsidR="00AA0BB3" w:rsidRPr="00385677" w:rsidRDefault="00ED5712" w:rsidP="00D42F33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Ente Federativo</w:t>
            </w:r>
            <w:r w:rsidR="003804EF" w:rsidRPr="00385677">
              <w:rPr>
                <w:b/>
                <w:bCs/>
                <w:color w:val="3B3B98"/>
              </w:rPr>
              <w:t>:</w:t>
            </w:r>
            <w:r w:rsidR="004E3710" w:rsidRPr="00385677">
              <w:rPr>
                <w:b/>
                <w:bCs/>
                <w:color w:val="3B3B98"/>
              </w:rPr>
              <w:t xml:space="preserve"> </w:t>
            </w:r>
          </w:p>
        </w:tc>
        <w:tc>
          <w:tcPr>
            <w:tcW w:w="3112" w:type="dxa"/>
          </w:tcPr>
          <w:p w14:paraId="123DE8E5" w14:textId="2CFF0A66" w:rsidR="00ED5712" w:rsidRPr="00385677" w:rsidRDefault="00ED5712" w:rsidP="00D42F33">
            <w:pPr>
              <w:rPr>
                <w:b/>
                <w:bCs/>
                <w:color w:val="404040" w:themeColor="text1" w:themeTint="BF"/>
              </w:rPr>
            </w:pPr>
            <w:r w:rsidRPr="00385677">
              <w:rPr>
                <w:b/>
                <w:bCs/>
                <w:color w:val="3B3B98"/>
              </w:rPr>
              <w:t>CNPJ:</w:t>
            </w:r>
            <w:r w:rsidR="00385677">
              <w:rPr>
                <w:b/>
                <w:bCs/>
                <w:color w:val="3B3B98"/>
              </w:rPr>
              <w:t xml:space="preserve"> </w:t>
            </w:r>
          </w:p>
        </w:tc>
      </w:tr>
      <w:tr w:rsidR="00AA0BB3" w:rsidRPr="00385677" w14:paraId="2F2A19B0" w14:textId="77777777" w:rsidTr="00ED5712">
        <w:tc>
          <w:tcPr>
            <w:tcW w:w="5382" w:type="dxa"/>
          </w:tcPr>
          <w:p w14:paraId="1434B39E" w14:textId="635F264D" w:rsidR="00AA0BB3" w:rsidRPr="00385677" w:rsidRDefault="00ED5712" w:rsidP="00D42F33">
            <w:pPr>
              <w:rPr>
                <w:b/>
                <w:bCs/>
                <w:color w:val="404040" w:themeColor="text1" w:themeTint="BF"/>
              </w:rPr>
            </w:pPr>
            <w:r w:rsidRPr="00385677">
              <w:rPr>
                <w:b/>
                <w:bCs/>
                <w:color w:val="3B3B98"/>
              </w:rPr>
              <w:t>Unidade Gestora do RPPS</w:t>
            </w:r>
            <w:r w:rsidR="003804EF" w:rsidRPr="00385677">
              <w:rPr>
                <w:b/>
                <w:bCs/>
                <w:color w:val="3B3B98"/>
              </w:rPr>
              <w:t xml:space="preserve">: </w:t>
            </w:r>
          </w:p>
        </w:tc>
        <w:tc>
          <w:tcPr>
            <w:tcW w:w="3112" w:type="dxa"/>
          </w:tcPr>
          <w:p w14:paraId="44DB6121" w14:textId="4F3EAA12" w:rsidR="00AA0BB3" w:rsidRPr="00385677" w:rsidRDefault="00ED5712" w:rsidP="00D42F33">
            <w:pPr>
              <w:rPr>
                <w:b/>
                <w:bCs/>
                <w:color w:val="404040" w:themeColor="text1" w:themeTint="BF"/>
              </w:rPr>
            </w:pPr>
            <w:r w:rsidRPr="00385677">
              <w:rPr>
                <w:b/>
                <w:bCs/>
                <w:color w:val="3B3B98"/>
              </w:rPr>
              <w:t>CNPJ:</w:t>
            </w:r>
            <w:r w:rsidR="00385677">
              <w:rPr>
                <w:b/>
                <w:bCs/>
                <w:color w:val="3B3B98"/>
              </w:rPr>
              <w:t xml:space="preserve"> </w:t>
            </w:r>
          </w:p>
        </w:tc>
      </w:tr>
    </w:tbl>
    <w:p w14:paraId="7F887544" w14:textId="77777777" w:rsidR="00AA0BB3" w:rsidRPr="00385677" w:rsidRDefault="00AA0BB3" w:rsidP="00D42F33">
      <w:pPr>
        <w:rPr>
          <w:b/>
          <w:bCs/>
          <w:color w:val="3B3B98"/>
        </w:rPr>
      </w:pPr>
    </w:p>
    <w:p w14:paraId="5638E559" w14:textId="684AE5EF" w:rsidR="00021AF0" w:rsidRPr="00385677" w:rsidRDefault="00021AF0" w:rsidP="00D42F33">
      <w:pPr>
        <w:rPr>
          <w:b/>
          <w:bCs/>
          <w:color w:val="3B3B98"/>
          <w:sz w:val="28"/>
          <w:szCs w:val="28"/>
        </w:rPr>
      </w:pPr>
      <w:r w:rsidRPr="00385677">
        <w:rPr>
          <w:b/>
          <w:bCs/>
          <w:color w:val="3B3B98"/>
          <w:sz w:val="28"/>
          <w:szCs w:val="28"/>
        </w:rPr>
        <w:t>II - DA INSTITUIÇÃO A SER CREDENCIADA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3539"/>
        <w:gridCol w:w="707"/>
        <w:gridCol w:w="3546"/>
        <w:gridCol w:w="702"/>
      </w:tblGrid>
      <w:tr w:rsidR="00385677" w:rsidRPr="00385677" w14:paraId="43E34B13" w14:textId="77777777" w:rsidTr="004E5418">
        <w:trPr>
          <w:trHeight w:val="397"/>
        </w:trPr>
        <w:tc>
          <w:tcPr>
            <w:tcW w:w="3539" w:type="dxa"/>
            <w:vAlign w:val="center"/>
          </w:tcPr>
          <w:p w14:paraId="719B2060" w14:textId="2EBC2B78" w:rsidR="00566B27" w:rsidRPr="00385677" w:rsidRDefault="00566B27" w:rsidP="004E5418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Administrador</w:t>
            </w:r>
          </w:p>
        </w:tc>
        <w:tc>
          <w:tcPr>
            <w:tcW w:w="707" w:type="dxa"/>
            <w:vAlign w:val="center"/>
          </w:tcPr>
          <w:p w14:paraId="6735E7CD" w14:textId="64E9E471" w:rsidR="00566B27" w:rsidRPr="00385677" w:rsidRDefault="00566B27" w:rsidP="004E5418">
            <w:pPr>
              <w:rPr>
                <w:b/>
                <w:bCs/>
                <w:color w:val="3B3B98"/>
              </w:rPr>
            </w:pPr>
          </w:p>
        </w:tc>
        <w:tc>
          <w:tcPr>
            <w:tcW w:w="3546" w:type="dxa"/>
            <w:vAlign w:val="center"/>
          </w:tcPr>
          <w:p w14:paraId="1A0A9717" w14:textId="5D6688D8" w:rsidR="00566B27" w:rsidRPr="00385677" w:rsidRDefault="00566B27" w:rsidP="004E5418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Gestor</w:t>
            </w:r>
          </w:p>
        </w:tc>
        <w:tc>
          <w:tcPr>
            <w:tcW w:w="702" w:type="dxa"/>
          </w:tcPr>
          <w:p w14:paraId="23530B40" w14:textId="139138CF" w:rsidR="00566B27" w:rsidRPr="00385677" w:rsidRDefault="00F10402" w:rsidP="00D42F33">
            <w:pPr>
              <w:rPr>
                <w:b/>
                <w:bCs/>
                <w:color w:val="404040" w:themeColor="text1" w:themeTint="BF"/>
              </w:rPr>
            </w:pPr>
            <w:r w:rsidRPr="000F4E48">
              <w:rPr>
                <w:b/>
                <w:bCs/>
              </w:rPr>
              <w:t>X</w:t>
            </w:r>
          </w:p>
        </w:tc>
      </w:tr>
    </w:tbl>
    <w:p w14:paraId="50E8E2A1" w14:textId="77777777" w:rsidR="00566B27" w:rsidRPr="00385677" w:rsidRDefault="00566B27" w:rsidP="00D42F33">
      <w:pPr>
        <w:rPr>
          <w:b/>
          <w:bCs/>
          <w:color w:val="3B3B98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405"/>
        <w:gridCol w:w="6089"/>
      </w:tblGrid>
      <w:tr w:rsidR="00385677" w:rsidRPr="00385677" w14:paraId="586BE64F" w14:textId="77777777" w:rsidTr="00765243">
        <w:tc>
          <w:tcPr>
            <w:tcW w:w="2405" w:type="dxa"/>
          </w:tcPr>
          <w:p w14:paraId="3ACE4267" w14:textId="64C8447D" w:rsidR="001A07C0" w:rsidRPr="00385677" w:rsidRDefault="001A07C0" w:rsidP="00D42F33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Razão Social</w:t>
            </w:r>
          </w:p>
        </w:tc>
        <w:tc>
          <w:tcPr>
            <w:tcW w:w="6089" w:type="dxa"/>
          </w:tcPr>
          <w:p w14:paraId="15D646EE" w14:textId="7F195225" w:rsidR="001A07C0" w:rsidRPr="00385677" w:rsidRDefault="001A71C7" w:rsidP="00D42F33">
            <w:pPr>
              <w:rPr>
                <w:color w:val="404040" w:themeColor="text1" w:themeTint="BF"/>
              </w:rPr>
            </w:pPr>
            <w:r w:rsidRPr="001A71C7">
              <w:rPr>
                <w:color w:val="404040" w:themeColor="text1" w:themeTint="BF"/>
              </w:rPr>
              <w:t>Daycoval Asset Management Administração de Recursos Ltda.</w:t>
            </w:r>
          </w:p>
        </w:tc>
      </w:tr>
      <w:tr w:rsidR="00385677" w:rsidRPr="00385677" w14:paraId="2759FEAA" w14:textId="77777777" w:rsidTr="00765243">
        <w:tc>
          <w:tcPr>
            <w:tcW w:w="2405" w:type="dxa"/>
          </w:tcPr>
          <w:p w14:paraId="3E6F5A56" w14:textId="65413346" w:rsidR="00945D83" w:rsidRPr="00385677" w:rsidRDefault="00945D83" w:rsidP="00D42F33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CNPJ</w:t>
            </w:r>
          </w:p>
        </w:tc>
        <w:tc>
          <w:tcPr>
            <w:tcW w:w="6089" w:type="dxa"/>
          </w:tcPr>
          <w:p w14:paraId="50E975D3" w14:textId="0C27C8BD" w:rsidR="001A07C0" w:rsidRPr="00385677" w:rsidRDefault="001A71C7" w:rsidP="00D42F33">
            <w:pPr>
              <w:rPr>
                <w:color w:val="404040" w:themeColor="text1" w:themeTint="BF"/>
              </w:rPr>
            </w:pPr>
            <w:r w:rsidRPr="001A71C7">
              <w:rPr>
                <w:color w:val="404040" w:themeColor="text1" w:themeTint="BF"/>
              </w:rPr>
              <w:t>72.027.832/0001-02</w:t>
            </w:r>
          </w:p>
        </w:tc>
      </w:tr>
      <w:tr w:rsidR="00385677" w:rsidRPr="00385677" w14:paraId="5445290D" w14:textId="77777777" w:rsidTr="00765243">
        <w:tc>
          <w:tcPr>
            <w:tcW w:w="2405" w:type="dxa"/>
          </w:tcPr>
          <w:p w14:paraId="428B7F86" w14:textId="15B79527" w:rsidR="001A07C0" w:rsidRPr="00385677" w:rsidRDefault="00945D83" w:rsidP="00D42F33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Data de Constituição</w:t>
            </w:r>
          </w:p>
        </w:tc>
        <w:tc>
          <w:tcPr>
            <w:tcW w:w="6089" w:type="dxa"/>
          </w:tcPr>
          <w:p w14:paraId="7CA80142" w14:textId="48B56C0A" w:rsidR="001A07C0" w:rsidRPr="00385677" w:rsidRDefault="00127978" w:rsidP="00D42F33">
            <w:pPr>
              <w:rPr>
                <w:color w:val="404040" w:themeColor="text1" w:themeTint="BF"/>
              </w:rPr>
            </w:pPr>
            <w:r>
              <w:rPr>
                <w:color w:val="404040" w:themeColor="text1" w:themeTint="BF"/>
              </w:rPr>
              <w:t>02</w:t>
            </w:r>
            <w:r w:rsidR="00B702AA" w:rsidRPr="00B702AA">
              <w:rPr>
                <w:color w:val="404040" w:themeColor="text1" w:themeTint="BF"/>
              </w:rPr>
              <w:t>/1</w:t>
            </w:r>
            <w:r>
              <w:rPr>
                <w:color w:val="404040" w:themeColor="text1" w:themeTint="BF"/>
              </w:rPr>
              <w:t>2</w:t>
            </w:r>
            <w:r w:rsidR="00B702AA" w:rsidRPr="00B702AA">
              <w:rPr>
                <w:color w:val="404040" w:themeColor="text1" w:themeTint="BF"/>
              </w:rPr>
              <w:t>/</w:t>
            </w:r>
            <w:r>
              <w:rPr>
                <w:color w:val="404040" w:themeColor="text1" w:themeTint="BF"/>
              </w:rPr>
              <w:t>2004</w:t>
            </w:r>
          </w:p>
        </w:tc>
      </w:tr>
      <w:tr w:rsidR="00385677" w:rsidRPr="00385677" w14:paraId="3FA6FA19" w14:textId="77777777" w:rsidTr="00765243">
        <w:tc>
          <w:tcPr>
            <w:tcW w:w="2405" w:type="dxa"/>
          </w:tcPr>
          <w:p w14:paraId="7C44BD19" w14:textId="5E8C06C9" w:rsidR="001A07C0" w:rsidRPr="00385677" w:rsidRDefault="00765243" w:rsidP="00D42F33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Endereço</w:t>
            </w:r>
          </w:p>
        </w:tc>
        <w:tc>
          <w:tcPr>
            <w:tcW w:w="6089" w:type="dxa"/>
          </w:tcPr>
          <w:p w14:paraId="74175F11" w14:textId="277DA54B" w:rsidR="001A07C0" w:rsidRPr="00385677" w:rsidRDefault="00127978" w:rsidP="00D42F33">
            <w:pPr>
              <w:rPr>
                <w:color w:val="404040" w:themeColor="text1" w:themeTint="BF"/>
              </w:rPr>
            </w:pPr>
            <w:r w:rsidRPr="00127978">
              <w:rPr>
                <w:color w:val="404040" w:themeColor="text1" w:themeTint="BF"/>
              </w:rPr>
              <w:t>Av. Paulista, nº 1793, 6º andar, Bela Vista, São Paulo/SP, CEP: 01311-200.</w:t>
            </w:r>
          </w:p>
        </w:tc>
      </w:tr>
      <w:tr w:rsidR="00385677" w:rsidRPr="00385677" w14:paraId="1704C0CD" w14:textId="77777777" w:rsidTr="00765243">
        <w:tc>
          <w:tcPr>
            <w:tcW w:w="2405" w:type="dxa"/>
          </w:tcPr>
          <w:p w14:paraId="03D572B8" w14:textId="1103E767" w:rsidR="001A07C0" w:rsidRPr="00385677" w:rsidRDefault="00765243" w:rsidP="00D42F33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E-mail</w:t>
            </w:r>
          </w:p>
        </w:tc>
        <w:tc>
          <w:tcPr>
            <w:tcW w:w="6089" w:type="dxa"/>
          </w:tcPr>
          <w:p w14:paraId="2E9EA3F5" w14:textId="3F7C6D7A" w:rsidR="001A07C0" w:rsidRPr="00385677" w:rsidRDefault="00A57E5A" w:rsidP="00D42F33">
            <w:pPr>
              <w:rPr>
                <w:color w:val="404040" w:themeColor="text1" w:themeTint="BF"/>
              </w:rPr>
            </w:pPr>
            <w:r w:rsidRPr="00A57E5A">
              <w:rPr>
                <w:color w:val="404040" w:themeColor="text1" w:themeTint="BF"/>
              </w:rPr>
              <w:t>compliance.investimentos@grupodaycoval.com.br</w:t>
            </w:r>
          </w:p>
        </w:tc>
      </w:tr>
      <w:tr w:rsidR="001A07C0" w:rsidRPr="00385677" w14:paraId="26686FC3" w14:textId="77777777" w:rsidTr="00765243">
        <w:tc>
          <w:tcPr>
            <w:tcW w:w="2405" w:type="dxa"/>
          </w:tcPr>
          <w:p w14:paraId="2C65474C" w14:textId="6D224073" w:rsidR="001A07C0" w:rsidRPr="00385677" w:rsidRDefault="00765243" w:rsidP="00D42F33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Telefone</w:t>
            </w:r>
          </w:p>
        </w:tc>
        <w:tc>
          <w:tcPr>
            <w:tcW w:w="6089" w:type="dxa"/>
          </w:tcPr>
          <w:p w14:paraId="446D0BBF" w14:textId="77199735" w:rsidR="001A07C0" w:rsidRPr="00385677" w:rsidRDefault="00F50F5C" w:rsidP="00D42F33">
            <w:pPr>
              <w:rPr>
                <w:color w:val="404040" w:themeColor="text1" w:themeTint="BF"/>
              </w:rPr>
            </w:pPr>
            <w:r w:rsidRPr="00F50F5C">
              <w:rPr>
                <w:color w:val="404040" w:themeColor="text1" w:themeTint="BF"/>
              </w:rPr>
              <w:t>11 3138-6848</w:t>
            </w:r>
          </w:p>
        </w:tc>
      </w:tr>
    </w:tbl>
    <w:p w14:paraId="3F6F4AA7" w14:textId="77777777" w:rsidR="001A07C0" w:rsidRPr="00385677" w:rsidRDefault="001A07C0" w:rsidP="00D42F33">
      <w:pPr>
        <w:rPr>
          <w:b/>
          <w:bCs/>
          <w:color w:val="3B3B98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606"/>
        <w:gridCol w:w="1608"/>
        <w:gridCol w:w="4128"/>
        <w:gridCol w:w="1152"/>
      </w:tblGrid>
      <w:tr w:rsidR="00385677" w:rsidRPr="00385677" w14:paraId="73195F68" w14:textId="77777777" w:rsidTr="00B408CE">
        <w:tc>
          <w:tcPr>
            <w:tcW w:w="1606" w:type="dxa"/>
          </w:tcPr>
          <w:p w14:paraId="63FD4AC8" w14:textId="70E3D8B2" w:rsidR="002B4DAC" w:rsidRPr="00385677" w:rsidRDefault="00523C5E" w:rsidP="00D42F33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Responsável</w:t>
            </w:r>
          </w:p>
        </w:tc>
        <w:tc>
          <w:tcPr>
            <w:tcW w:w="1608" w:type="dxa"/>
          </w:tcPr>
          <w:p w14:paraId="072AC835" w14:textId="1CF89DBA" w:rsidR="002B4DAC" w:rsidRPr="00385677" w:rsidRDefault="00523C5E" w:rsidP="00D42F33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Cargo</w:t>
            </w:r>
          </w:p>
        </w:tc>
        <w:tc>
          <w:tcPr>
            <w:tcW w:w="4128" w:type="dxa"/>
          </w:tcPr>
          <w:p w14:paraId="0F4F3BCD" w14:textId="2A95D274" w:rsidR="002B4DAC" w:rsidRPr="00385677" w:rsidRDefault="00523C5E" w:rsidP="00D42F33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E-mail</w:t>
            </w:r>
          </w:p>
        </w:tc>
        <w:tc>
          <w:tcPr>
            <w:tcW w:w="1152" w:type="dxa"/>
          </w:tcPr>
          <w:p w14:paraId="6DB5D0D5" w14:textId="5958ECEA" w:rsidR="002B4DAC" w:rsidRPr="00385677" w:rsidRDefault="00523C5E" w:rsidP="00D42F33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Telefone</w:t>
            </w:r>
          </w:p>
        </w:tc>
      </w:tr>
      <w:tr w:rsidR="00385677" w:rsidRPr="00385677" w14:paraId="2AB5ACC6" w14:textId="77777777" w:rsidTr="00B408CE">
        <w:tc>
          <w:tcPr>
            <w:tcW w:w="1606" w:type="dxa"/>
          </w:tcPr>
          <w:p w14:paraId="2F6E0581" w14:textId="50B1D485" w:rsidR="002B4DAC" w:rsidRPr="00385677" w:rsidRDefault="00FD7998" w:rsidP="00D42F33">
            <w:pPr>
              <w:rPr>
                <w:color w:val="404040" w:themeColor="text1" w:themeTint="BF"/>
              </w:rPr>
            </w:pPr>
            <w:proofErr w:type="spellStart"/>
            <w:r w:rsidRPr="00FD7998">
              <w:rPr>
                <w:color w:val="404040" w:themeColor="text1" w:themeTint="BF"/>
              </w:rPr>
              <w:t>Amit</w:t>
            </w:r>
            <w:proofErr w:type="spellEnd"/>
            <w:r w:rsidRPr="00FD7998">
              <w:rPr>
                <w:color w:val="404040" w:themeColor="text1" w:themeTint="BF"/>
              </w:rPr>
              <w:t xml:space="preserve"> Blanche</w:t>
            </w:r>
          </w:p>
        </w:tc>
        <w:tc>
          <w:tcPr>
            <w:tcW w:w="1608" w:type="dxa"/>
          </w:tcPr>
          <w:p w14:paraId="2AD5EEEC" w14:textId="53773884" w:rsidR="002B4DAC" w:rsidRPr="00385677" w:rsidRDefault="00FD7998" w:rsidP="00D42F33">
            <w:pPr>
              <w:rPr>
                <w:b/>
                <w:bCs/>
                <w:color w:val="404040" w:themeColor="text1" w:themeTint="BF"/>
              </w:rPr>
            </w:pPr>
            <w:r w:rsidRPr="00FD7998">
              <w:rPr>
                <w:color w:val="404040" w:themeColor="text1" w:themeTint="BF"/>
              </w:rPr>
              <w:t>Coordenadora de Compliance Inves</w:t>
            </w:r>
            <w:r w:rsidR="00F74539">
              <w:rPr>
                <w:color w:val="404040" w:themeColor="text1" w:themeTint="BF"/>
              </w:rPr>
              <w:t>ti</w:t>
            </w:r>
            <w:r w:rsidRPr="00FD7998">
              <w:rPr>
                <w:color w:val="404040" w:themeColor="text1" w:themeTint="BF"/>
              </w:rPr>
              <w:t>mentos</w:t>
            </w:r>
          </w:p>
        </w:tc>
        <w:tc>
          <w:tcPr>
            <w:tcW w:w="4128" w:type="dxa"/>
          </w:tcPr>
          <w:p w14:paraId="6C3B8B07" w14:textId="43AE4A27" w:rsidR="002B4DAC" w:rsidRPr="00BE6D83" w:rsidRDefault="00BE6D83" w:rsidP="00D42F33">
            <w:pPr>
              <w:rPr>
                <w:color w:val="404040" w:themeColor="text1" w:themeTint="BF"/>
              </w:rPr>
            </w:pPr>
            <w:r w:rsidRPr="00BE6D83">
              <w:rPr>
                <w:color w:val="404040" w:themeColor="text1" w:themeTint="BF"/>
              </w:rPr>
              <w:t>amit.blanche@grupodaycoval.com.br</w:t>
            </w:r>
          </w:p>
        </w:tc>
        <w:tc>
          <w:tcPr>
            <w:tcW w:w="1152" w:type="dxa"/>
          </w:tcPr>
          <w:p w14:paraId="43518DB2" w14:textId="295D97D0" w:rsidR="002B4DAC" w:rsidRPr="00385677" w:rsidRDefault="00BE6D83" w:rsidP="00D42F33">
            <w:pPr>
              <w:rPr>
                <w:b/>
                <w:bCs/>
                <w:color w:val="404040" w:themeColor="text1" w:themeTint="BF"/>
              </w:rPr>
            </w:pPr>
            <w:r w:rsidRPr="00BE6D83">
              <w:rPr>
                <w:color w:val="404040" w:themeColor="text1" w:themeTint="BF"/>
              </w:rPr>
              <w:t>(11) 3138 6848</w:t>
            </w:r>
          </w:p>
        </w:tc>
      </w:tr>
    </w:tbl>
    <w:p w14:paraId="3E75188B" w14:textId="60CD5E24" w:rsidR="00765243" w:rsidRPr="00385677" w:rsidRDefault="00765243" w:rsidP="00D42F33">
      <w:pPr>
        <w:rPr>
          <w:b/>
          <w:bCs/>
          <w:color w:val="3B3B98"/>
        </w:rPr>
      </w:pPr>
    </w:p>
    <w:tbl>
      <w:tblPr>
        <w:tblStyle w:val="Tabelacomgrade"/>
        <w:tblW w:w="8500" w:type="dxa"/>
        <w:tblLook w:val="04A0" w:firstRow="1" w:lastRow="0" w:firstColumn="1" w:lastColumn="0" w:noHBand="0" w:noVBand="1"/>
      </w:tblPr>
      <w:tblGrid>
        <w:gridCol w:w="7366"/>
        <w:gridCol w:w="1134"/>
      </w:tblGrid>
      <w:tr w:rsidR="00385677" w:rsidRPr="00385677" w14:paraId="44930EDC" w14:textId="77777777" w:rsidTr="003A48B1">
        <w:trPr>
          <w:trHeight w:val="765"/>
        </w:trPr>
        <w:tc>
          <w:tcPr>
            <w:tcW w:w="7366" w:type="dxa"/>
            <w:vAlign w:val="center"/>
            <w:hideMark/>
          </w:tcPr>
          <w:p w14:paraId="5E6BD4A1" w14:textId="77777777" w:rsidR="003A48B1" w:rsidRPr="00385677" w:rsidRDefault="003A48B1" w:rsidP="003A48B1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A instituição atende ao previsto nos incisos I e II do § 2º art. 21 da Resolução CMN nº 4.963/2021?</w:t>
            </w:r>
          </w:p>
        </w:tc>
        <w:tc>
          <w:tcPr>
            <w:tcW w:w="1134" w:type="dxa"/>
            <w:vAlign w:val="center"/>
            <w:hideMark/>
          </w:tcPr>
          <w:p w14:paraId="69C902E5" w14:textId="77777777" w:rsidR="003A48B1" w:rsidRPr="00385677" w:rsidRDefault="003A48B1" w:rsidP="00F11446">
            <w:pPr>
              <w:jc w:val="center"/>
              <w:rPr>
                <w:color w:val="404040" w:themeColor="text1" w:themeTint="BF"/>
              </w:rPr>
            </w:pPr>
            <w:r w:rsidRPr="00385677">
              <w:rPr>
                <w:color w:val="404040" w:themeColor="text1" w:themeTint="BF"/>
              </w:rPr>
              <w:t>Sim</w:t>
            </w:r>
          </w:p>
        </w:tc>
      </w:tr>
      <w:tr w:rsidR="00385677" w:rsidRPr="00385677" w14:paraId="69AE4CD1" w14:textId="77777777" w:rsidTr="003A48B1">
        <w:trPr>
          <w:trHeight w:val="692"/>
        </w:trPr>
        <w:tc>
          <w:tcPr>
            <w:tcW w:w="7366" w:type="dxa"/>
            <w:vAlign w:val="center"/>
            <w:hideMark/>
          </w:tcPr>
          <w:p w14:paraId="58ADE9EF" w14:textId="77777777" w:rsidR="003A48B1" w:rsidRPr="00385677" w:rsidRDefault="003A48B1" w:rsidP="003A48B1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A instituição está livre de registros de suspensão ou de inabilitação na CVM ou outro órgão competente?</w:t>
            </w:r>
          </w:p>
        </w:tc>
        <w:tc>
          <w:tcPr>
            <w:tcW w:w="1134" w:type="dxa"/>
            <w:vAlign w:val="center"/>
            <w:hideMark/>
          </w:tcPr>
          <w:p w14:paraId="22F451C3" w14:textId="34527510" w:rsidR="003A48B1" w:rsidRPr="00385677" w:rsidRDefault="0007302F" w:rsidP="00F11446">
            <w:pPr>
              <w:jc w:val="center"/>
              <w:rPr>
                <w:color w:val="404040" w:themeColor="text1" w:themeTint="BF"/>
              </w:rPr>
            </w:pPr>
            <w:r>
              <w:rPr>
                <w:color w:val="404040" w:themeColor="text1" w:themeTint="BF"/>
              </w:rPr>
              <w:t>Sim</w:t>
            </w:r>
          </w:p>
        </w:tc>
      </w:tr>
      <w:tr w:rsidR="00385677" w:rsidRPr="00385677" w14:paraId="370411E3" w14:textId="77777777" w:rsidTr="003A48B1">
        <w:trPr>
          <w:trHeight w:val="1268"/>
        </w:trPr>
        <w:tc>
          <w:tcPr>
            <w:tcW w:w="7366" w:type="dxa"/>
            <w:vAlign w:val="center"/>
            <w:hideMark/>
          </w:tcPr>
          <w:p w14:paraId="5EC5DEC4" w14:textId="34D1C20B" w:rsidR="003A48B1" w:rsidRPr="00385677" w:rsidRDefault="003A48B1" w:rsidP="003A48B1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A instituição detém elevado padrão ético de conduta nas operações realizadas no mercado financeiro</w:t>
            </w:r>
            <w:r w:rsidR="003837CA">
              <w:rPr>
                <w:b/>
                <w:bCs/>
                <w:color w:val="3B3B98"/>
              </w:rPr>
              <w:t>?</w:t>
            </w:r>
            <w:r w:rsidRPr="00385677">
              <w:rPr>
                <w:b/>
                <w:bCs/>
                <w:color w:val="3B3B98"/>
              </w:rPr>
              <w:t xml:space="preserve"> </w:t>
            </w:r>
          </w:p>
        </w:tc>
        <w:tc>
          <w:tcPr>
            <w:tcW w:w="1134" w:type="dxa"/>
            <w:vAlign w:val="center"/>
            <w:hideMark/>
          </w:tcPr>
          <w:p w14:paraId="67FFF42B" w14:textId="77777777" w:rsidR="003A48B1" w:rsidRPr="00385677" w:rsidRDefault="003A48B1" w:rsidP="00F11446">
            <w:pPr>
              <w:jc w:val="center"/>
              <w:rPr>
                <w:color w:val="404040" w:themeColor="text1" w:themeTint="BF"/>
              </w:rPr>
            </w:pPr>
            <w:r w:rsidRPr="00385677">
              <w:rPr>
                <w:color w:val="404040" w:themeColor="text1" w:themeTint="BF"/>
              </w:rPr>
              <w:t>Sim</w:t>
            </w:r>
          </w:p>
        </w:tc>
      </w:tr>
      <w:tr w:rsidR="003837CA" w:rsidRPr="00385677" w14:paraId="5D8DC4A7" w14:textId="77777777" w:rsidTr="003A48B1">
        <w:trPr>
          <w:trHeight w:val="1268"/>
        </w:trPr>
        <w:tc>
          <w:tcPr>
            <w:tcW w:w="7366" w:type="dxa"/>
            <w:vAlign w:val="center"/>
          </w:tcPr>
          <w:p w14:paraId="511D3084" w14:textId="747CA21D" w:rsidR="003837CA" w:rsidRPr="00385677" w:rsidRDefault="003837CA" w:rsidP="003A48B1">
            <w:pPr>
              <w:rPr>
                <w:b/>
                <w:bCs/>
                <w:color w:val="3B3B98"/>
              </w:rPr>
            </w:pPr>
            <w:r>
              <w:rPr>
                <w:b/>
                <w:bCs/>
                <w:color w:val="3B3B98"/>
              </w:rPr>
              <w:t>A instituição</w:t>
            </w:r>
            <w:r w:rsidRPr="00385677">
              <w:rPr>
                <w:b/>
                <w:bCs/>
                <w:color w:val="3B3B98"/>
              </w:rPr>
              <w:t xml:space="preserve"> possui restrições que, a critério da CVM, do Banco Central do Brasil ou de outros órgãos competentes, desaconselhem um relacionamento seguro?</w:t>
            </w:r>
          </w:p>
        </w:tc>
        <w:tc>
          <w:tcPr>
            <w:tcW w:w="1134" w:type="dxa"/>
            <w:vAlign w:val="center"/>
          </w:tcPr>
          <w:p w14:paraId="67DB27AB" w14:textId="563CF30D" w:rsidR="003837CA" w:rsidRPr="00385677" w:rsidRDefault="0007302F" w:rsidP="00F11446">
            <w:pPr>
              <w:jc w:val="center"/>
              <w:rPr>
                <w:color w:val="404040" w:themeColor="text1" w:themeTint="BF"/>
              </w:rPr>
            </w:pPr>
            <w:r>
              <w:rPr>
                <w:color w:val="404040" w:themeColor="text1" w:themeTint="BF"/>
              </w:rPr>
              <w:t>Não</w:t>
            </w:r>
          </w:p>
        </w:tc>
      </w:tr>
      <w:tr w:rsidR="00385677" w:rsidRPr="00385677" w14:paraId="558EC38A" w14:textId="77777777" w:rsidTr="003A48B1">
        <w:trPr>
          <w:trHeight w:val="833"/>
        </w:trPr>
        <w:tc>
          <w:tcPr>
            <w:tcW w:w="7366" w:type="dxa"/>
            <w:vAlign w:val="center"/>
            <w:hideMark/>
          </w:tcPr>
          <w:p w14:paraId="322EF98C" w14:textId="77777777" w:rsidR="003A48B1" w:rsidRPr="00385677" w:rsidRDefault="003A48B1" w:rsidP="003A48B1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lastRenderedPageBreak/>
              <w:t>Os profissionais diretamente relacionados à gestão de ativos de terceiros da instituição possuem experiência mínima de 5 (cinco) anos na atividade?</w:t>
            </w:r>
          </w:p>
        </w:tc>
        <w:tc>
          <w:tcPr>
            <w:tcW w:w="1134" w:type="dxa"/>
            <w:vAlign w:val="center"/>
            <w:hideMark/>
          </w:tcPr>
          <w:p w14:paraId="4F283FA8" w14:textId="77777777" w:rsidR="003A48B1" w:rsidRPr="00385677" w:rsidRDefault="003A48B1" w:rsidP="00F11446">
            <w:pPr>
              <w:jc w:val="center"/>
              <w:rPr>
                <w:color w:val="404040" w:themeColor="text1" w:themeTint="BF"/>
              </w:rPr>
            </w:pPr>
            <w:r w:rsidRPr="00385677">
              <w:rPr>
                <w:color w:val="404040" w:themeColor="text1" w:themeTint="BF"/>
              </w:rPr>
              <w:t>Sim</w:t>
            </w:r>
          </w:p>
        </w:tc>
      </w:tr>
      <w:tr w:rsidR="00385677" w:rsidRPr="00385677" w14:paraId="3CD6E2E6" w14:textId="77777777" w:rsidTr="003A48B1">
        <w:trPr>
          <w:trHeight w:val="703"/>
        </w:trPr>
        <w:tc>
          <w:tcPr>
            <w:tcW w:w="7366" w:type="dxa"/>
            <w:vAlign w:val="center"/>
            <w:hideMark/>
          </w:tcPr>
          <w:p w14:paraId="60F05DFF" w14:textId="77777777" w:rsidR="003A48B1" w:rsidRPr="00385677" w:rsidRDefault="003A48B1" w:rsidP="003A48B1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A instituição e seus principais controladores possuem adequado histórico de atuação no mercado financeiro?</w:t>
            </w:r>
          </w:p>
        </w:tc>
        <w:tc>
          <w:tcPr>
            <w:tcW w:w="1134" w:type="dxa"/>
            <w:vAlign w:val="center"/>
            <w:hideMark/>
          </w:tcPr>
          <w:p w14:paraId="0052E9D0" w14:textId="77777777" w:rsidR="003A48B1" w:rsidRPr="00385677" w:rsidRDefault="003A48B1" w:rsidP="00F11446">
            <w:pPr>
              <w:jc w:val="center"/>
              <w:rPr>
                <w:color w:val="404040" w:themeColor="text1" w:themeTint="BF"/>
              </w:rPr>
            </w:pPr>
            <w:r w:rsidRPr="00385677">
              <w:rPr>
                <w:color w:val="404040" w:themeColor="text1" w:themeTint="BF"/>
              </w:rPr>
              <w:t>Sim</w:t>
            </w:r>
          </w:p>
        </w:tc>
      </w:tr>
      <w:tr w:rsidR="00385677" w:rsidRPr="00385677" w14:paraId="3F6F0AC7" w14:textId="77777777" w:rsidTr="003A48B1">
        <w:trPr>
          <w:trHeight w:val="58"/>
        </w:trPr>
        <w:tc>
          <w:tcPr>
            <w:tcW w:w="7366" w:type="dxa"/>
            <w:vAlign w:val="center"/>
            <w:hideMark/>
          </w:tcPr>
          <w:p w14:paraId="1ACB6660" w14:textId="77777777" w:rsidR="003A48B1" w:rsidRPr="00385677" w:rsidRDefault="003A48B1" w:rsidP="003A48B1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Em caso de Administrador de fundo de investimento, este detém no máximo 50% (cinquenta por cento) dos recursos sob sua administração oriundos de regimes próprios de previdência social?</w:t>
            </w:r>
          </w:p>
        </w:tc>
        <w:tc>
          <w:tcPr>
            <w:tcW w:w="1134" w:type="dxa"/>
            <w:vAlign w:val="center"/>
            <w:hideMark/>
          </w:tcPr>
          <w:p w14:paraId="08233C08" w14:textId="77777777" w:rsidR="003A48B1" w:rsidRPr="00385677" w:rsidRDefault="003A48B1" w:rsidP="00F11446">
            <w:pPr>
              <w:jc w:val="center"/>
              <w:rPr>
                <w:color w:val="404040" w:themeColor="text1" w:themeTint="BF"/>
              </w:rPr>
            </w:pPr>
            <w:r w:rsidRPr="00385677">
              <w:rPr>
                <w:color w:val="404040" w:themeColor="text1" w:themeTint="BF"/>
              </w:rPr>
              <w:t>Sim</w:t>
            </w:r>
          </w:p>
        </w:tc>
      </w:tr>
    </w:tbl>
    <w:p w14:paraId="70B1EA0E" w14:textId="77777777" w:rsidR="003A48B1" w:rsidRDefault="003A48B1" w:rsidP="003A48B1">
      <w:pPr>
        <w:rPr>
          <w:b/>
          <w:bCs/>
        </w:rPr>
      </w:pPr>
    </w:p>
    <w:p w14:paraId="1C23CA2C" w14:textId="51C9F43E" w:rsidR="000B24D3" w:rsidRPr="00385677" w:rsidRDefault="000B24D3" w:rsidP="000B24D3">
      <w:pPr>
        <w:rPr>
          <w:b/>
          <w:bCs/>
          <w:color w:val="3B3B98"/>
          <w:sz w:val="28"/>
          <w:szCs w:val="28"/>
        </w:rPr>
      </w:pPr>
      <w:r w:rsidRPr="00385677">
        <w:rPr>
          <w:b/>
          <w:bCs/>
          <w:color w:val="3B3B98"/>
          <w:sz w:val="28"/>
          <w:szCs w:val="28"/>
        </w:rPr>
        <w:t xml:space="preserve">III – </w:t>
      </w:r>
      <w:r w:rsidR="003B303C">
        <w:rPr>
          <w:b/>
          <w:bCs/>
          <w:color w:val="3B3B98"/>
          <w:sz w:val="28"/>
          <w:szCs w:val="28"/>
        </w:rPr>
        <w:t>SOBRE OS FUNDOS</w:t>
      </w: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0B24D3" w:rsidRPr="006E6BAD" w14:paraId="09DD09C4" w14:textId="77777777" w:rsidTr="00170D9F">
        <w:tc>
          <w:tcPr>
            <w:tcW w:w="8499" w:type="dxa"/>
            <w:shd w:val="clear" w:color="auto" w:fill="3B3B98"/>
          </w:tcPr>
          <w:p w14:paraId="240FB69A" w14:textId="7DD30C52" w:rsidR="000B24D3" w:rsidRPr="00B50007" w:rsidRDefault="003B303C" w:rsidP="00170D9F">
            <w:pPr>
              <w:rPr>
                <w:b/>
                <w:bCs/>
              </w:rPr>
            </w:pPr>
            <w:r w:rsidRPr="003B303C">
              <w:rPr>
                <w:b/>
                <w:bCs/>
                <w:color w:val="FFFFFF" w:themeColor="background1"/>
              </w:rPr>
              <w:t>DAS CLASSES DE FUNDOS DE INVESTIMENTOS EM QUE A INSTITUIÇÃO ESTÁ SENDO CREDENCIADA:</w:t>
            </w:r>
          </w:p>
        </w:tc>
      </w:tr>
    </w:tbl>
    <w:p w14:paraId="5890CF05" w14:textId="77777777" w:rsidR="001E37C7" w:rsidRPr="001E37C7" w:rsidRDefault="001E37C7" w:rsidP="00AC1C30">
      <w:pPr>
        <w:jc w:val="both"/>
        <w:rPr>
          <w:color w:val="404040" w:themeColor="text1" w:themeTint="BF"/>
        </w:rPr>
      </w:pPr>
      <w:r w:rsidRPr="001E37C7">
        <w:rPr>
          <w:color w:val="404040" w:themeColor="text1" w:themeTint="BF"/>
        </w:rPr>
        <w:t xml:space="preserve">A Daycoval Asset Management Administração de Recursos Ltda. está sendo credenciada para atuar em diversas classes de fundos de investimento, abrangendo estratégias de Renda Fixa, Multimercado, Ações, Estruturados e Sustentáveis. No segmento de Renda Fixa, a instituição concentra sua atuação em fundos de crédito privado, </w:t>
      </w:r>
      <w:proofErr w:type="spellStart"/>
      <w:r w:rsidRPr="001E37C7">
        <w:rPr>
          <w:color w:val="404040" w:themeColor="text1" w:themeTint="BF"/>
        </w:rPr>
        <w:t>duration</w:t>
      </w:r>
      <w:proofErr w:type="spellEnd"/>
      <w:r w:rsidRPr="001E37C7">
        <w:rPr>
          <w:color w:val="404040" w:themeColor="text1" w:themeTint="BF"/>
        </w:rPr>
        <w:t xml:space="preserve"> e liquidez, observando diariamente o prazo médio dos títulos e mantendo o enquadramento tributário conforme as diretrizes regulatórias. Na classe Multimercado, a gestora desenvolve estratégias global macro, quantitativas e de arbitragem, utilizando métricas de risco como </w:t>
      </w:r>
      <w:proofErr w:type="spellStart"/>
      <w:r w:rsidRPr="001E37C7">
        <w:rPr>
          <w:color w:val="404040" w:themeColor="text1" w:themeTint="BF"/>
        </w:rPr>
        <w:t>Value</w:t>
      </w:r>
      <w:proofErr w:type="spellEnd"/>
      <w:r w:rsidRPr="001E37C7">
        <w:rPr>
          <w:color w:val="404040" w:themeColor="text1" w:themeTint="BF"/>
        </w:rPr>
        <w:t xml:space="preserve"> </w:t>
      </w:r>
      <w:proofErr w:type="spellStart"/>
      <w:r w:rsidRPr="001E37C7">
        <w:rPr>
          <w:color w:val="404040" w:themeColor="text1" w:themeTint="BF"/>
        </w:rPr>
        <w:t>at</w:t>
      </w:r>
      <w:proofErr w:type="spellEnd"/>
      <w:r w:rsidRPr="001E37C7">
        <w:rPr>
          <w:color w:val="404040" w:themeColor="text1" w:themeTint="BF"/>
        </w:rPr>
        <w:t xml:space="preserve"> Risk (</w:t>
      </w:r>
      <w:proofErr w:type="spellStart"/>
      <w:r w:rsidRPr="001E37C7">
        <w:rPr>
          <w:color w:val="404040" w:themeColor="text1" w:themeTint="BF"/>
        </w:rPr>
        <w:t>VaR</w:t>
      </w:r>
      <w:proofErr w:type="spellEnd"/>
      <w:r w:rsidRPr="001E37C7">
        <w:rPr>
          <w:color w:val="404040" w:themeColor="text1" w:themeTint="BF"/>
        </w:rPr>
        <w:t xml:space="preserve">), Stress </w:t>
      </w:r>
      <w:proofErr w:type="spellStart"/>
      <w:r w:rsidRPr="001E37C7">
        <w:rPr>
          <w:color w:val="404040" w:themeColor="text1" w:themeTint="BF"/>
        </w:rPr>
        <w:t>Testing</w:t>
      </w:r>
      <w:proofErr w:type="spellEnd"/>
      <w:r w:rsidRPr="001E37C7">
        <w:rPr>
          <w:color w:val="404040" w:themeColor="text1" w:themeTint="BF"/>
        </w:rPr>
        <w:t xml:space="preserve"> e Tracking </w:t>
      </w:r>
      <w:proofErr w:type="spellStart"/>
      <w:r w:rsidRPr="001E37C7">
        <w:rPr>
          <w:color w:val="404040" w:themeColor="text1" w:themeTint="BF"/>
        </w:rPr>
        <w:t>Error</w:t>
      </w:r>
      <w:proofErr w:type="spellEnd"/>
      <w:r w:rsidRPr="001E37C7">
        <w:rPr>
          <w:color w:val="404040" w:themeColor="text1" w:themeTint="BF"/>
        </w:rPr>
        <w:t>, em linha com as melhores práticas de monitoramento.</w:t>
      </w:r>
    </w:p>
    <w:p w14:paraId="4662C503" w14:textId="77777777" w:rsidR="001E37C7" w:rsidRPr="001E37C7" w:rsidRDefault="001E37C7" w:rsidP="00AC1C30">
      <w:pPr>
        <w:jc w:val="both"/>
        <w:rPr>
          <w:color w:val="404040" w:themeColor="text1" w:themeTint="BF"/>
        </w:rPr>
      </w:pPr>
      <w:r w:rsidRPr="001E37C7">
        <w:rPr>
          <w:color w:val="404040" w:themeColor="text1" w:themeTint="BF"/>
        </w:rPr>
        <w:t xml:space="preserve">Em relação aos fundos de Ações, a abordagem é fundamentada em análises qualitativas e quantitativas, com projeções de fluxo de caixa, avaliação de múltiplos e estudo das vantagens competitivas setoriais, de modo a sustentar a tomada de decisão baseada em fundamentos. Para fundos Estruturados, a gestora adota procedimentos rigorosos de </w:t>
      </w:r>
      <w:proofErr w:type="spellStart"/>
      <w:r w:rsidRPr="001E37C7">
        <w:rPr>
          <w:color w:val="404040" w:themeColor="text1" w:themeTint="BF"/>
        </w:rPr>
        <w:t>due</w:t>
      </w:r>
      <w:proofErr w:type="spellEnd"/>
      <w:r w:rsidRPr="001E37C7">
        <w:rPr>
          <w:color w:val="404040" w:themeColor="text1" w:themeTint="BF"/>
        </w:rPr>
        <w:t xml:space="preserve"> </w:t>
      </w:r>
      <w:proofErr w:type="spellStart"/>
      <w:r w:rsidRPr="001E37C7">
        <w:rPr>
          <w:color w:val="404040" w:themeColor="text1" w:themeTint="BF"/>
        </w:rPr>
        <w:t>diligence</w:t>
      </w:r>
      <w:proofErr w:type="spellEnd"/>
      <w:r w:rsidRPr="001E37C7">
        <w:rPr>
          <w:color w:val="404040" w:themeColor="text1" w:themeTint="BF"/>
        </w:rPr>
        <w:t>, contemplando aspectos de crédito e de prevenção à lavagem de dinheiro e financiamento do terrorismo (PLD/FTP), além da deliberação em comitês de crédito e risco, garantindo a conformidade com a regulamentação aplicável. Adicionalmente, a instituição está preparada para a gestão de fundos classificados como Sustentáveis, incorporando aspectos socioambientais e de governança no processo de análise, ainda que não seja signatária de protocolos internacionais.</w:t>
      </w:r>
    </w:p>
    <w:p w14:paraId="1DB47D4F" w14:textId="3FD5F484" w:rsidR="00F6717B" w:rsidRPr="001E37C7" w:rsidRDefault="001E37C7" w:rsidP="00AC1C30">
      <w:pPr>
        <w:jc w:val="both"/>
        <w:rPr>
          <w:color w:val="404040" w:themeColor="text1" w:themeTint="BF"/>
        </w:rPr>
      </w:pPr>
      <w:r w:rsidRPr="001E37C7">
        <w:rPr>
          <w:color w:val="404040" w:themeColor="text1" w:themeTint="BF"/>
        </w:rPr>
        <w:t xml:space="preserve">A Daycoval Asset também mantém estrutura para a gestão de carteiras administradas e prevê a possibilidade de alocação em ativos no exterior, como </w:t>
      </w:r>
      <w:proofErr w:type="spellStart"/>
      <w:r w:rsidRPr="001E37C7">
        <w:rPr>
          <w:color w:val="404040" w:themeColor="text1" w:themeTint="BF"/>
        </w:rPr>
        <w:t>bonds</w:t>
      </w:r>
      <w:proofErr w:type="spellEnd"/>
      <w:r w:rsidRPr="001E37C7">
        <w:rPr>
          <w:color w:val="404040" w:themeColor="text1" w:themeTint="BF"/>
        </w:rPr>
        <w:t xml:space="preserve"> e ações listadas, aplicando os mesmos critérios de diligência, compliance e monitoramento empregados em ativos domésticos. Dessa forma, a instituição demonstra capacidade técnica e controles adequados para gerir diferentes classes de fundos, assegurando a aderência às normas da CVM, ANBIMA e demais órgãos reguladores, em consonância com as melhores práticas de mercado</w:t>
      </w:r>
      <w:r>
        <w:rPr>
          <w:color w:val="404040" w:themeColor="text1" w:themeTint="BF"/>
        </w:rPr>
        <w:t>.</w:t>
      </w:r>
    </w:p>
    <w:p w14:paraId="786D06F8" w14:textId="2A6693D8" w:rsidR="00FD3E35" w:rsidRPr="00385677" w:rsidRDefault="00237256" w:rsidP="0085754A">
      <w:pPr>
        <w:rPr>
          <w:b/>
          <w:bCs/>
          <w:color w:val="3B3B98"/>
          <w:sz w:val="28"/>
          <w:szCs w:val="28"/>
        </w:rPr>
      </w:pPr>
      <w:r w:rsidRPr="00385677">
        <w:rPr>
          <w:b/>
          <w:bCs/>
          <w:color w:val="3B3B98"/>
          <w:sz w:val="28"/>
          <w:szCs w:val="28"/>
        </w:rPr>
        <w:t>I</w:t>
      </w:r>
      <w:r w:rsidR="0047448C">
        <w:rPr>
          <w:b/>
          <w:bCs/>
          <w:color w:val="3B3B98"/>
          <w:sz w:val="28"/>
          <w:szCs w:val="28"/>
        </w:rPr>
        <w:t>V</w:t>
      </w:r>
      <w:r w:rsidRPr="00385677">
        <w:rPr>
          <w:b/>
          <w:bCs/>
          <w:color w:val="3B3B98"/>
          <w:sz w:val="28"/>
          <w:szCs w:val="28"/>
        </w:rPr>
        <w:t>– ANÁLISE DA INSTITUIÇÃO A SER CREDENCIADA</w:t>
      </w: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6E6BAD" w:rsidRPr="006E6BAD" w14:paraId="66A9B057" w14:textId="77777777" w:rsidTr="0082059B">
        <w:tc>
          <w:tcPr>
            <w:tcW w:w="8499" w:type="dxa"/>
            <w:shd w:val="clear" w:color="auto" w:fill="3B3B98"/>
          </w:tcPr>
          <w:p w14:paraId="0D78999C" w14:textId="26AC1217" w:rsidR="006E6BAD" w:rsidRPr="00B50007" w:rsidRDefault="00EF0037" w:rsidP="00B50007">
            <w:pPr>
              <w:rPr>
                <w:b/>
                <w:bCs/>
              </w:rPr>
            </w:pPr>
            <w:r w:rsidRPr="0082059B">
              <w:rPr>
                <w:b/>
                <w:bCs/>
                <w:color w:val="FFFFFF" w:themeColor="background1"/>
              </w:rPr>
              <w:t>ATOS DE REGISTRO OU AUTORIZAÇÃO PARA FUNCIONAMENTO EXPEDIDO POR ÓRGÃO COMPETENTE.</w:t>
            </w:r>
          </w:p>
        </w:tc>
      </w:tr>
    </w:tbl>
    <w:p w14:paraId="43A893CE" w14:textId="77777777" w:rsidR="00665EA5" w:rsidRPr="00665EA5" w:rsidRDefault="00665EA5" w:rsidP="00AC1C30">
      <w:pPr>
        <w:jc w:val="both"/>
        <w:rPr>
          <w:color w:val="404040" w:themeColor="text1" w:themeTint="BF"/>
        </w:rPr>
      </w:pPr>
      <w:r w:rsidRPr="00665EA5">
        <w:rPr>
          <w:color w:val="404040" w:themeColor="text1" w:themeTint="BF"/>
        </w:rPr>
        <w:t xml:space="preserve">A Daycoval Asset Management Administração de Recursos Ltda. </w:t>
      </w:r>
      <w:proofErr w:type="spellStart"/>
      <w:r w:rsidRPr="00665EA5">
        <w:rPr>
          <w:color w:val="404040" w:themeColor="text1" w:themeTint="BF"/>
        </w:rPr>
        <w:t>é</w:t>
      </w:r>
      <w:proofErr w:type="spellEnd"/>
      <w:r w:rsidRPr="00665EA5">
        <w:rPr>
          <w:color w:val="404040" w:themeColor="text1" w:themeTint="BF"/>
        </w:rPr>
        <w:t xml:space="preserve"> devidamente registrada na Comissão de Valores Mobiliários (CVM), conforme Ato Declaratório nº 8.056, expedido em 02 de dezembro de 2004, que a habilita como prestadora de serviços de administração </w:t>
      </w:r>
      <w:r w:rsidRPr="00665EA5">
        <w:rPr>
          <w:color w:val="404040" w:themeColor="text1" w:themeTint="BF"/>
        </w:rPr>
        <w:lastRenderedPageBreak/>
        <w:t>de carteiras de valores mobiliários. Esse registro constitui a base legal para o exercício das atividades de gestão de recursos de terceiros, assegurando a conformidade com a regulamentação vigente e com as normas aplicáveis ao mercado de capitais.</w:t>
      </w:r>
    </w:p>
    <w:p w14:paraId="746ED20B" w14:textId="7ECD5172" w:rsidR="00F6717B" w:rsidRPr="00FD11EF" w:rsidRDefault="00665EA5" w:rsidP="00AC1C30">
      <w:pPr>
        <w:jc w:val="both"/>
        <w:rPr>
          <w:color w:val="404040" w:themeColor="text1" w:themeTint="BF"/>
        </w:rPr>
      </w:pPr>
      <w:r w:rsidRPr="00665EA5">
        <w:rPr>
          <w:color w:val="404040" w:themeColor="text1" w:themeTint="BF"/>
        </w:rPr>
        <w:t>Além disso, a instituição é associada à Associação Brasileira das Entidades dos Mercados Financeiro e de Capitais (ANBIMA), aderindo voluntariamente a seus Códigos de Autorregulação, o que reforça o compromisso com padrões elevados de governança, transparência e melhores práticas de mercado. Ressalta-se que a Daycoval Asset é uma instituição nacional, regularmente constituída em 02 de dezembro de 2004, inscrita no CNPJ sob nº 72.027.832/0001-02 e classificada sob o CNAE 66.30-4-00 (atividades de administração de fundos por contrato ou comissão), possuindo plena capacidade operacional e regulatória para desempenhar suas atividades</w:t>
      </w:r>
      <w:r>
        <w:rPr>
          <w:color w:val="404040" w:themeColor="text1" w:themeTint="BF"/>
        </w:rPr>
        <w:t>.</w:t>
      </w: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6E6BAD" w:rsidRPr="006E6BAD" w14:paraId="15262C5B" w14:textId="77777777" w:rsidTr="0082059B">
        <w:tc>
          <w:tcPr>
            <w:tcW w:w="8499" w:type="dxa"/>
            <w:shd w:val="clear" w:color="auto" w:fill="3B3B98"/>
          </w:tcPr>
          <w:p w14:paraId="09EE46FE" w14:textId="6DE4458E" w:rsidR="006E6BAD" w:rsidRPr="00B50007" w:rsidRDefault="00EF0037" w:rsidP="00EF0037">
            <w:pPr>
              <w:spacing w:line="279" w:lineRule="auto"/>
              <w:rPr>
                <w:b/>
                <w:bCs/>
              </w:rPr>
            </w:pPr>
            <w:r w:rsidRPr="0082059B">
              <w:rPr>
                <w:b/>
                <w:bCs/>
                <w:color w:val="FFFFFF" w:themeColor="background1"/>
              </w:rPr>
              <w:t>OBSERVÂNCIA DE ELEVADO PADRÃO ÉTICO DE CONDUTA NAS OPERAÇÕES REALIZADAS NO MERCADO FINANCEIRO E AUSÊNCIA DE RESTRIÇÕES VERIFICADAS POR ÓRGÃOS COMPETENTES.</w:t>
            </w:r>
          </w:p>
        </w:tc>
      </w:tr>
      <w:tr w:rsidR="00385677" w:rsidRPr="00385677" w14:paraId="6447AD62" w14:textId="77777777" w:rsidTr="00074CF2">
        <w:tc>
          <w:tcPr>
            <w:tcW w:w="8499" w:type="dxa"/>
          </w:tcPr>
          <w:p w14:paraId="316AABA5" w14:textId="77777777" w:rsidR="003804EF" w:rsidRPr="00385677" w:rsidRDefault="003804EF" w:rsidP="00170D9F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 xml:space="preserve">SOBRE ELEVADO PADRÃO ÉTICO: </w:t>
            </w:r>
          </w:p>
        </w:tc>
      </w:tr>
    </w:tbl>
    <w:p w14:paraId="10F84F16" w14:textId="77777777" w:rsidR="00CD7682" w:rsidRPr="00CD7682" w:rsidRDefault="00CD7682" w:rsidP="00AC1C30">
      <w:pPr>
        <w:jc w:val="both"/>
        <w:rPr>
          <w:color w:val="404040" w:themeColor="text1" w:themeTint="BF"/>
        </w:rPr>
      </w:pPr>
      <w:r w:rsidRPr="00CD7682">
        <w:rPr>
          <w:color w:val="404040" w:themeColor="text1" w:themeTint="BF"/>
        </w:rPr>
        <w:t>A Daycoval Asset Management Administração de Recursos Ltda. adota práticas estruturadas que asseguram um elevado padrão ético na condução de suas atividades, fundamentadas em políticas internas robustas e em aderência às normas de regulação e autorregulação do mercado de capitais. A instituição possui Código de Ética e Conduta formalmente instituído, aplicável a todos os colaboradores e administradores desde o momento da contratação, contemplando princípios de integridade, transparência, responsabilidade e respeito às legislações vigentes.</w:t>
      </w:r>
    </w:p>
    <w:p w14:paraId="20FEBF6F" w14:textId="77777777" w:rsidR="00CD7682" w:rsidRPr="00CD7682" w:rsidRDefault="00CD7682" w:rsidP="00AC1C30">
      <w:pPr>
        <w:jc w:val="both"/>
        <w:rPr>
          <w:color w:val="404040" w:themeColor="text1" w:themeTint="BF"/>
        </w:rPr>
      </w:pPr>
      <w:r w:rsidRPr="00CD7682">
        <w:rPr>
          <w:color w:val="404040" w:themeColor="text1" w:themeTint="BF"/>
        </w:rPr>
        <w:t>O monitoramento do cumprimento dessas diretrizes é realizado pela área de Governança, Riscos e Compliance, com mecanismos contínuos de atualização e divulgação das normas internas por meio de canais oficiais, garantindo que todos os profissionais estejam permanentemente alinhados às melhores práticas. Além disso, a gestora dispõe de barreiras informacionais que asseguram a segregação de atividades e mitigam potenciais conflitos de interesse, assegurando a lisura das decisões de investimento e a preservação dos interesses dos cotistas.</w:t>
      </w:r>
    </w:p>
    <w:p w14:paraId="0864F99F" w14:textId="13F50DCF" w:rsidR="00F430F3" w:rsidRPr="009E3D2E" w:rsidRDefault="00CD7682" w:rsidP="00AC1C30">
      <w:pPr>
        <w:jc w:val="both"/>
        <w:rPr>
          <w:color w:val="404040" w:themeColor="text1" w:themeTint="BF"/>
        </w:rPr>
      </w:pPr>
      <w:r w:rsidRPr="00CD7682">
        <w:rPr>
          <w:color w:val="404040" w:themeColor="text1" w:themeTint="BF"/>
        </w:rPr>
        <w:t xml:space="preserve">Complementarmente, a instituição mantém canais formais de denúncia, acessíveis de forma independente e sigilosa, reforçando a cultura de integridade e a responsabilização em casos de desvios de conduta. Dessa forma, o padrão ético da Daycoval Asset se materializa não apenas em normas escritas, mas também em práticas efetivas de governança, transparência e </w:t>
      </w:r>
      <w:proofErr w:type="spellStart"/>
      <w:r w:rsidRPr="00CD7682">
        <w:rPr>
          <w:color w:val="404040" w:themeColor="text1" w:themeTint="BF"/>
        </w:rPr>
        <w:t>accountability</w:t>
      </w:r>
      <w:proofErr w:type="spellEnd"/>
      <w:r w:rsidRPr="00CD7682">
        <w:rPr>
          <w:color w:val="404040" w:themeColor="text1" w:themeTint="BF"/>
        </w:rPr>
        <w:t>, em conformidade com as exigências da CVM, ANBIMA e demais órgãos reguladores</w:t>
      </w:r>
      <w:r>
        <w:rPr>
          <w:color w:val="404040" w:themeColor="text1" w:themeTint="BF"/>
        </w:rPr>
        <w:t>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385677" w:rsidRPr="00385677" w14:paraId="6FBCBADD" w14:textId="77777777" w:rsidTr="003804EF">
        <w:tc>
          <w:tcPr>
            <w:tcW w:w="8494" w:type="dxa"/>
          </w:tcPr>
          <w:p w14:paraId="1669B11F" w14:textId="77777777" w:rsidR="003804EF" w:rsidRPr="00385677" w:rsidRDefault="003804EF" w:rsidP="00170D9F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SOBRE AUSÊNCIA DE RESTRIÇÕES:</w:t>
            </w:r>
          </w:p>
        </w:tc>
      </w:tr>
    </w:tbl>
    <w:p w14:paraId="418D3CDD" w14:textId="78AD3BAF" w:rsidR="00675C8B" w:rsidRPr="008571B7" w:rsidRDefault="008571B7" w:rsidP="00EF0037">
      <w:pPr>
        <w:rPr>
          <w:color w:val="404040" w:themeColor="text1" w:themeTint="BF"/>
        </w:rPr>
      </w:pPr>
      <w:r>
        <w:rPr>
          <w:color w:val="404040" w:themeColor="text1" w:themeTint="BF"/>
        </w:rPr>
        <w:t>N/A</w:t>
      </w: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6E6BAD" w:rsidRPr="006E6BAD" w14:paraId="1D0B4D9A" w14:textId="77777777" w:rsidTr="00CD7682">
        <w:trPr>
          <w:trHeight w:val="378"/>
        </w:trPr>
        <w:tc>
          <w:tcPr>
            <w:tcW w:w="8499" w:type="dxa"/>
            <w:shd w:val="clear" w:color="auto" w:fill="3B3B98"/>
          </w:tcPr>
          <w:p w14:paraId="6F153E7E" w14:textId="4954942A" w:rsidR="006E6BAD" w:rsidRPr="00B50007" w:rsidRDefault="003804EF" w:rsidP="00B50007">
            <w:pPr>
              <w:rPr>
                <w:b/>
                <w:bCs/>
              </w:rPr>
            </w:pPr>
            <w:r w:rsidRPr="0082059B">
              <w:rPr>
                <w:b/>
                <w:bCs/>
                <w:color w:val="FFFFFF" w:themeColor="background1"/>
              </w:rPr>
              <w:t>ANÁLISE DO HISTÓRICO DE ATUAÇÃO DA INSTITUIÇÃO E DE SEUS CONTROLADORES.</w:t>
            </w:r>
          </w:p>
        </w:tc>
      </w:tr>
    </w:tbl>
    <w:p w14:paraId="1EA73F99" w14:textId="77777777" w:rsidR="005F5805" w:rsidRPr="00AC1C30" w:rsidRDefault="005F5805" w:rsidP="00AC1C30">
      <w:pPr>
        <w:jc w:val="both"/>
        <w:rPr>
          <w:color w:val="404040" w:themeColor="text1" w:themeTint="BF"/>
        </w:rPr>
      </w:pPr>
      <w:r w:rsidRPr="00AC1C30">
        <w:rPr>
          <w:color w:val="404040" w:themeColor="text1" w:themeTint="BF"/>
        </w:rPr>
        <w:t xml:space="preserve">A Daycoval Asset Management Administração de Recursos Ltda. foi constituída em 2004 e possui registro junto à Comissão de Valores Mobiliários (CVM), conforme Ato Declaratório nº 8.056, que a habilita para a administração profissional de carteiras de valores mobiliários. Desde sua fundação, a instituição tem desenvolvido trajetória consistente no mercado de capitais, com atuação reconhecida principalmente na gestão de fundos de </w:t>
      </w:r>
      <w:r w:rsidRPr="00AC1C30">
        <w:rPr>
          <w:color w:val="404040" w:themeColor="text1" w:themeTint="BF"/>
        </w:rPr>
        <w:lastRenderedPageBreak/>
        <w:t>Renda Fixa, Multimercado e Ações, destacando-se pela solidez de processos, governança estruturada e rigor na gestão de riscos.</w:t>
      </w:r>
    </w:p>
    <w:p w14:paraId="113F8DE0" w14:textId="77777777" w:rsidR="005F5805" w:rsidRPr="00AC1C30" w:rsidRDefault="005F5805" w:rsidP="00AC1C30">
      <w:pPr>
        <w:jc w:val="both"/>
        <w:rPr>
          <w:color w:val="404040" w:themeColor="text1" w:themeTint="BF"/>
        </w:rPr>
      </w:pPr>
      <w:r w:rsidRPr="00AC1C30">
        <w:rPr>
          <w:color w:val="404040" w:themeColor="text1" w:themeTint="BF"/>
        </w:rPr>
        <w:t>O controle societário da gestora é exercido majoritariamente pelo Banco Daycoval S.A., instituição financeira tradicional fundada em 1968, com ampla experiência no mercado bancário e de crédito, detentor de 99,98% do capital da Asset. O controlador possui histórico sólido, marcado por crescimento sustentável e pelo compromisso em manter práticas de gestão prudenciais, o que confere maior robustez e respaldo institucional à Daycoval Asset.</w:t>
      </w:r>
    </w:p>
    <w:p w14:paraId="7016236C" w14:textId="5D69BD04" w:rsidR="00F430F3" w:rsidRPr="00AC1C30" w:rsidRDefault="005F5805" w:rsidP="00AC1C30">
      <w:pPr>
        <w:jc w:val="both"/>
        <w:rPr>
          <w:color w:val="404040" w:themeColor="text1" w:themeTint="BF"/>
        </w:rPr>
      </w:pPr>
      <w:r w:rsidRPr="00AC1C30">
        <w:rPr>
          <w:color w:val="404040" w:themeColor="text1" w:themeTint="BF"/>
        </w:rPr>
        <w:t>Ao longo de sua trajetória, a instituição tem recebido reconhecimentos relevantes, como a classificação MQ1.br atribuída pela agência Moody’s, que representa o mais elevado grau de qualidade na gestão de fundos, além de premiações em rankings especializados, como o Guia de Fundos da FGV e menções em publicações de grande circulação. Esses elementos evidenciam a credibilidade adquirida pela Daycoval Asset e por seus controladores, reforçando sua reputação de solidez, ética e excelência na administração de recursos de terceiros.</w:t>
      </w:r>
    </w:p>
    <w:p w14:paraId="3C49B222" w14:textId="77777777" w:rsidR="00F430F3" w:rsidRPr="003873EF" w:rsidRDefault="00F430F3" w:rsidP="00CE1A54">
      <w:pPr>
        <w:rPr>
          <w:color w:val="404040" w:themeColor="text1" w:themeTint="BF"/>
        </w:rPr>
      </w:pP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6E6BAD" w:rsidRPr="006E6BAD" w14:paraId="20432377" w14:textId="77777777" w:rsidTr="0082059B">
        <w:tc>
          <w:tcPr>
            <w:tcW w:w="8499" w:type="dxa"/>
            <w:shd w:val="clear" w:color="auto" w:fill="3B3B98"/>
          </w:tcPr>
          <w:p w14:paraId="60F48946" w14:textId="422CBCD2" w:rsidR="006E6BAD" w:rsidRPr="00B50007" w:rsidRDefault="003804EF" w:rsidP="00B50007">
            <w:pPr>
              <w:rPr>
                <w:b/>
                <w:bCs/>
              </w:rPr>
            </w:pPr>
            <w:r w:rsidRPr="0082059B">
              <w:rPr>
                <w:b/>
                <w:bCs/>
                <w:color w:val="FFFFFF" w:themeColor="background1"/>
              </w:rPr>
              <w:t>VERIFICAÇÃO DE EXPERIÊNCIA MÍNIMA DE 5 (CINCO) ANOS DE ATUAÇÃO.</w:t>
            </w:r>
          </w:p>
        </w:tc>
      </w:tr>
    </w:tbl>
    <w:p w14:paraId="033CBADC" w14:textId="77777777" w:rsidR="004628C7" w:rsidRPr="004628C7" w:rsidRDefault="004628C7" w:rsidP="00AC1C30">
      <w:pPr>
        <w:jc w:val="both"/>
        <w:rPr>
          <w:color w:val="404040" w:themeColor="text1" w:themeTint="BF"/>
        </w:rPr>
      </w:pPr>
      <w:r w:rsidRPr="004628C7">
        <w:rPr>
          <w:color w:val="404040" w:themeColor="text1" w:themeTint="BF"/>
        </w:rPr>
        <w:t>A Daycoval Asset Management Administração de Recursos Ltda. comprova experiência superior a cinco anos de atuação ininterrupta no mercado de capitais. Constituída em 2004, a instituição acumula mais de duas décadas de histórico como gestora de recursos, devidamente registrada na Comissão de Valores Mobiliários (CVM) para o exercício da administração profissional de carteiras de valores mobiliários.</w:t>
      </w:r>
    </w:p>
    <w:p w14:paraId="4BD94869" w14:textId="77777777" w:rsidR="004628C7" w:rsidRPr="004628C7" w:rsidRDefault="004628C7" w:rsidP="00AC1C30">
      <w:pPr>
        <w:jc w:val="both"/>
        <w:rPr>
          <w:color w:val="404040" w:themeColor="text1" w:themeTint="BF"/>
        </w:rPr>
      </w:pPr>
      <w:r w:rsidRPr="004628C7">
        <w:rPr>
          <w:color w:val="404040" w:themeColor="text1" w:themeTint="BF"/>
        </w:rPr>
        <w:t>Durante esse período, consolidou sua posição como uma das principais gestoras independentes ligadas a conglomerado bancário nacional, com trajetória marcada por consistência nos processos de investimento, rigor na gestão de riscos e aderência às normas regulatórias e de autorregulação. Essa experiência acumulada, associada à estrutura de governança do Banco Daycoval S.A., seu controlador, evidencia não apenas o cumprimento do requisito temporal mínimo estabelecido, mas também a robustez operacional e reputacional da instituição.</w:t>
      </w:r>
    </w:p>
    <w:p w14:paraId="3B0A91F2" w14:textId="114B1156" w:rsidR="00F430F3" w:rsidRPr="00DC3742" w:rsidRDefault="004628C7" w:rsidP="00AC1C30">
      <w:pPr>
        <w:jc w:val="both"/>
        <w:rPr>
          <w:color w:val="404040" w:themeColor="text1" w:themeTint="BF"/>
        </w:rPr>
      </w:pPr>
      <w:r w:rsidRPr="004628C7">
        <w:rPr>
          <w:color w:val="404040" w:themeColor="text1" w:themeTint="BF"/>
        </w:rPr>
        <w:t>Assim, a Daycoval Asset demonstra capacidade técnica comprovada e histórico consolidado, atendendo plenamente à exigência de experiência mínima de 5 (cinco) anos de atuação</w:t>
      </w:r>
      <w:r>
        <w:rPr>
          <w:color w:val="404040" w:themeColor="text1" w:themeTint="BF"/>
        </w:rPr>
        <w:t>.</w:t>
      </w: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3D15B4" w:rsidRPr="006E6BAD" w14:paraId="4E6996D3" w14:textId="77777777" w:rsidTr="00170D9F">
        <w:tc>
          <w:tcPr>
            <w:tcW w:w="8499" w:type="dxa"/>
            <w:shd w:val="clear" w:color="auto" w:fill="3B3B98"/>
          </w:tcPr>
          <w:p w14:paraId="2E3BFD1A" w14:textId="77777777" w:rsidR="003D15B4" w:rsidRPr="00B50007" w:rsidRDefault="003D15B4" w:rsidP="00170D9F">
            <w:pPr>
              <w:rPr>
                <w:b/>
                <w:bCs/>
              </w:rPr>
            </w:pPr>
            <w:r>
              <w:rPr>
                <w:b/>
                <w:bCs/>
                <w:color w:val="FFFFFF" w:themeColor="background1"/>
              </w:rPr>
              <w:t>PRINCIPAIS CATEGORIAS DE PRODUTOS OFERTADOS</w:t>
            </w:r>
          </w:p>
        </w:tc>
      </w:tr>
    </w:tbl>
    <w:p w14:paraId="6A3D4F73" w14:textId="77777777" w:rsidR="00E27EF9" w:rsidRPr="00E27EF9" w:rsidRDefault="00E27EF9" w:rsidP="00AC1C30">
      <w:pPr>
        <w:jc w:val="both"/>
        <w:rPr>
          <w:color w:val="404040" w:themeColor="text1" w:themeTint="BF"/>
        </w:rPr>
      </w:pPr>
      <w:r w:rsidRPr="00E27EF9">
        <w:rPr>
          <w:color w:val="404040" w:themeColor="text1" w:themeTint="BF"/>
        </w:rPr>
        <w:t xml:space="preserve">A Daycoval Asset Management Administração de Recursos Ltda. oferece um portfólio diversificado de produtos de investimento, estruturados em diferentes categorias, de forma a atender perfis variados de investidores institucionais e individuais. Entre as principais classes, destacam-se os Fundos de Renda Fixa, com forte presença em estratégias de crédito privado, </w:t>
      </w:r>
      <w:proofErr w:type="spellStart"/>
      <w:r w:rsidRPr="00E27EF9">
        <w:rPr>
          <w:color w:val="404040" w:themeColor="text1" w:themeTint="BF"/>
        </w:rPr>
        <w:t>duration</w:t>
      </w:r>
      <w:proofErr w:type="spellEnd"/>
      <w:r w:rsidRPr="00E27EF9">
        <w:rPr>
          <w:color w:val="404040" w:themeColor="text1" w:themeTint="BF"/>
        </w:rPr>
        <w:t xml:space="preserve"> e gestão ativa de liquidez, voltados a investidores que buscam preservação de capital e retorno ajustado ao risco.</w:t>
      </w:r>
    </w:p>
    <w:p w14:paraId="4D1DCE63" w14:textId="77777777" w:rsidR="00E27EF9" w:rsidRPr="00E27EF9" w:rsidRDefault="00E27EF9" w:rsidP="00AC1C30">
      <w:pPr>
        <w:jc w:val="both"/>
        <w:rPr>
          <w:color w:val="404040" w:themeColor="text1" w:themeTint="BF"/>
        </w:rPr>
      </w:pPr>
      <w:r w:rsidRPr="00E27EF9">
        <w:rPr>
          <w:color w:val="404040" w:themeColor="text1" w:themeTint="BF"/>
        </w:rPr>
        <w:t xml:space="preserve">Na categoria de Fundos Multimercado, a instituição disponibiliza estratégias global macro, quantitativas e de arbitragem, que utilizam instrumentos de renda fixa, variável e derivativos, com o objetivo de proporcionar diversificação e ganho em diferentes cenários econômicos. Já na classe de Fundos de Ações, a gestora adota abordagem </w:t>
      </w:r>
      <w:r w:rsidRPr="00E27EF9">
        <w:rPr>
          <w:color w:val="404040" w:themeColor="text1" w:themeTint="BF"/>
        </w:rPr>
        <w:lastRenderedPageBreak/>
        <w:t>fundamentalista, baseada em projeções de fluxo de caixa, múltiplos de mercado e análise setorial, buscando identificar companhias com vantagens competitivas sustentáveis e potencial de valorização de longo prazo.</w:t>
      </w:r>
    </w:p>
    <w:p w14:paraId="0B837D1E" w14:textId="77777777" w:rsidR="00E27EF9" w:rsidRPr="00E27EF9" w:rsidRDefault="00E27EF9" w:rsidP="00AC1C30">
      <w:pPr>
        <w:jc w:val="both"/>
        <w:rPr>
          <w:color w:val="404040" w:themeColor="text1" w:themeTint="BF"/>
        </w:rPr>
      </w:pPr>
      <w:r w:rsidRPr="00E27EF9">
        <w:rPr>
          <w:color w:val="404040" w:themeColor="text1" w:themeTint="BF"/>
        </w:rPr>
        <w:t>Complementarmente, a Daycoval Asset atua na estruturação de Fundos Estruturados, que demandam análises específicas de crédito e governança, submetidos à deliberação em comitês especializados, bem como em Fundos Sustentáveis, que incorporam elementos de governança corporativa e critérios socioambientais no processo de investimento. A gestora também oferece carteiras administradas, personalizadas conforme o perfil e os objetivos do investidor, além da possibilidade de alocação em ativos no exterior, respeitando os mesmos padrões de diligência aplicados aos investimentos domésticos.</w:t>
      </w:r>
    </w:p>
    <w:p w14:paraId="6DDACE04" w14:textId="48586EC8" w:rsidR="00F430F3" w:rsidRPr="00E27EF9" w:rsidRDefault="00E27EF9" w:rsidP="00AC1C30">
      <w:pPr>
        <w:jc w:val="both"/>
        <w:rPr>
          <w:color w:val="404040" w:themeColor="text1" w:themeTint="BF"/>
        </w:rPr>
      </w:pPr>
      <w:r w:rsidRPr="00E27EF9">
        <w:rPr>
          <w:color w:val="404040" w:themeColor="text1" w:themeTint="BF"/>
        </w:rPr>
        <w:t>Esse conjunto de produtos reflete a estratégia da instituição em disponibilizar soluções de investimento completas, sustentadas por governança robusta, gestão de riscos estruturada e aderência integral às normas regulatórias e autorregulatórias vigentes.</w:t>
      </w: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6E6BAD" w:rsidRPr="006E6BAD" w14:paraId="25B3B00E" w14:textId="77777777" w:rsidTr="0082059B">
        <w:tc>
          <w:tcPr>
            <w:tcW w:w="8499" w:type="dxa"/>
            <w:shd w:val="clear" w:color="auto" w:fill="3B3B98"/>
          </w:tcPr>
          <w:p w14:paraId="14C00605" w14:textId="0C2352D0" w:rsidR="006E6BAD" w:rsidRPr="00B50007" w:rsidRDefault="003804EF" w:rsidP="00B50007">
            <w:pPr>
              <w:rPr>
                <w:b/>
                <w:bCs/>
              </w:rPr>
            </w:pPr>
            <w:r w:rsidRPr="0082059B">
              <w:rPr>
                <w:b/>
                <w:bCs/>
                <w:color w:val="FFFFFF" w:themeColor="background1"/>
              </w:rPr>
              <w:t xml:space="preserve">ANÁLISE DE VOLUME DE RECURSOS SOB SUA GESTÃO E ADMINISTRAÇÃO, DA QUALIFICAÇÃO </w:t>
            </w:r>
            <w:r w:rsidRPr="0082059B">
              <w:rPr>
                <w:b/>
                <w:bCs/>
                <w:color w:val="FFFFFF" w:themeColor="background1"/>
                <w:shd w:val="clear" w:color="auto" w:fill="3B3B98"/>
              </w:rPr>
              <w:t>DO CORPO</w:t>
            </w:r>
            <w:r w:rsidRPr="0082059B">
              <w:rPr>
                <w:b/>
                <w:bCs/>
                <w:color w:val="FFFFFF" w:themeColor="background1"/>
              </w:rPr>
              <w:t xml:space="preserve"> TÉCNICO E DA SEGREGAÇÃO DE ATIVIDADES.</w:t>
            </w:r>
          </w:p>
        </w:tc>
      </w:tr>
      <w:tr w:rsidR="00385677" w:rsidRPr="00385677" w14:paraId="60129078" w14:textId="77777777" w:rsidTr="00074CF2">
        <w:tc>
          <w:tcPr>
            <w:tcW w:w="8499" w:type="dxa"/>
          </w:tcPr>
          <w:p w14:paraId="0217A49B" w14:textId="77777777" w:rsidR="003804EF" w:rsidRPr="00385677" w:rsidRDefault="003804EF" w:rsidP="00170D9F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SOBRE VOLUME DE RECURSOS:</w:t>
            </w:r>
          </w:p>
        </w:tc>
      </w:tr>
    </w:tbl>
    <w:p w14:paraId="43F21A13" w14:textId="618262D4" w:rsidR="000419C2" w:rsidRPr="000419C2" w:rsidRDefault="000419C2" w:rsidP="00AC1C30">
      <w:pPr>
        <w:jc w:val="both"/>
        <w:rPr>
          <w:color w:val="404040" w:themeColor="text1" w:themeTint="BF"/>
        </w:rPr>
      </w:pPr>
      <w:r w:rsidRPr="000419C2">
        <w:rPr>
          <w:color w:val="404040" w:themeColor="text1" w:themeTint="BF"/>
        </w:rPr>
        <w:t>A Daycoval Asset Management Administração de Recursos Ltda. apresenta trajetória consistente de crescimento em seu volume de ativos sob gestão (</w:t>
      </w:r>
      <w:proofErr w:type="spellStart"/>
      <w:r w:rsidRPr="000419C2">
        <w:rPr>
          <w:color w:val="404040" w:themeColor="text1" w:themeTint="BF"/>
        </w:rPr>
        <w:t>AuM</w:t>
      </w:r>
      <w:proofErr w:type="spellEnd"/>
      <w:r w:rsidRPr="000419C2">
        <w:rPr>
          <w:color w:val="404040" w:themeColor="text1" w:themeTint="BF"/>
        </w:rPr>
        <w:t>), reflexo da expansão de sua base de clientes institucionais e da consolidação de sua reputação no mercado de capitais. A instituição dispõe de estrutura operacional e tecnológica dimensionada para suportar de forma adequada a elevação desse volume, tendo estabelecido como limite de capacidade, de acordo com seu plano estratégico, até R$ 40 bilhões em ativos sob gestão com a atual infraestrutura.</w:t>
      </w:r>
    </w:p>
    <w:p w14:paraId="3E1A6B0C" w14:textId="75084262" w:rsidR="000419C2" w:rsidRPr="000419C2" w:rsidRDefault="000419C2" w:rsidP="00AC1C30">
      <w:pPr>
        <w:jc w:val="both"/>
        <w:rPr>
          <w:color w:val="404040" w:themeColor="text1" w:themeTint="BF"/>
        </w:rPr>
      </w:pPr>
      <w:r w:rsidRPr="000419C2">
        <w:rPr>
          <w:color w:val="404040" w:themeColor="text1" w:themeTint="BF"/>
        </w:rPr>
        <w:t>Esse crescimento é sustentado por processos de gestão de riscos robustos, equipes especializadas e sistemas de monitoramento contínuo que asseguram o adequado enquadramento regulatório e a preservação dos interesses dos cotistas. A expansão gradativa do volume administrado é acompanhada por investimentos permanentes em governança, compliance, tecnologia da informação e capacitação de profissionais, garantindo equilíbrio entre crescimento e manutenção da qualidade na gestão.</w:t>
      </w:r>
    </w:p>
    <w:p w14:paraId="6A4C15DC" w14:textId="43549A5C" w:rsidR="00F430F3" w:rsidRPr="00385677" w:rsidRDefault="000419C2" w:rsidP="00AC1C30">
      <w:pPr>
        <w:jc w:val="both"/>
        <w:rPr>
          <w:color w:val="404040" w:themeColor="text1" w:themeTint="BF"/>
        </w:rPr>
      </w:pPr>
      <w:r w:rsidRPr="000419C2">
        <w:rPr>
          <w:color w:val="404040" w:themeColor="text1" w:themeTint="BF"/>
        </w:rPr>
        <w:t>Assim, o volume de recursos sob gestão da Daycoval Asset evidencia não apenas sua capacidade técnica e operacional, mas também a confiança depositada pelos investidores na consistência de sua estratégia e na solidez do grupo controlador</w:t>
      </w:r>
      <w:r>
        <w:rPr>
          <w:color w:val="404040" w:themeColor="text1" w:themeTint="BF"/>
        </w:rPr>
        <w:t>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385677" w:rsidRPr="00385677" w14:paraId="4FCAEB13" w14:textId="77777777" w:rsidTr="003804EF">
        <w:tc>
          <w:tcPr>
            <w:tcW w:w="8494" w:type="dxa"/>
          </w:tcPr>
          <w:p w14:paraId="6A516635" w14:textId="77777777" w:rsidR="003804EF" w:rsidRPr="00385677" w:rsidRDefault="003804EF" w:rsidP="00170D9F">
            <w:pPr>
              <w:rPr>
                <w:b/>
                <w:bCs/>
                <w:color w:val="404040" w:themeColor="text1" w:themeTint="BF"/>
              </w:rPr>
            </w:pPr>
            <w:r w:rsidRPr="00385677">
              <w:rPr>
                <w:b/>
                <w:bCs/>
                <w:color w:val="3B3B98"/>
              </w:rPr>
              <w:t xml:space="preserve">SOBRE QUALIFICAÇÃO DO CORPO TÉCNICO: </w:t>
            </w:r>
          </w:p>
        </w:tc>
      </w:tr>
    </w:tbl>
    <w:p w14:paraId="32E47144" w14:textId="77777777" w:rsidR="0085733C" w:rsidRPr="0085733C" w:rsidRDefault="0085733C" w:rsidP="00AC1C30">
      <w:pPr>
        <w:jc w:val="both"/>
        <w:rPr>
          <w:color w:val="404040" w:themeColor="text1" w:themeTint="BF"/>
        </w:rPr>
      </w:pPr>
      <w:r w:rsidRPr="0085733C">
        <w:rPr>
          <w:color w:val="404040" w:themeColor="text1" w:themeTint="BF"/>
        </w:rPr>
        <w:t xml:space="preserve">A Daycoval Asset Management Administração de Recursos Ltda. dispõe de um corpo técnico altamente qualificado, composto por profissionais com sólida formação acadêmica, experiência comprovada no mercado financeiro e certificações reconhecidas nacional e internacionalmente. A equipe de gestão é liderada por executivos com ampla trajetória em instituições de referência no Brasil e no exterior, com destaque para credenciais como o Chartered Financial </w:t>
      </w:r>
      <w:proofErr w:type="spellStart"/>
      <w:r w:rsidRPr="0085733C">
        <w:rPr>
          <w:color w:val="404040" w:themeColor="text1" w:themeTint="BF"/>
        </w:rPr>
        <w:t>Analyst</w:t>
      </w:r>
      <w:proofErr w:type="spellEnd"/>
      <w:r w:rsidRPr="0085733C">
        <w:rPr>
          <w:color w:val="404040" w:themeColor="text1" w:themeTint="BF"/>
        </w:rPr>
        <w:t xml:space="preserve"> (CFA), certificações da ANBIMA (CGA, CEA) e outros títulos especializados em finanças, gestão de riscos e investimentos.</w:t>
      </w:r>
    </w:p>
    <w:p w14:paraId="00DA1659" w14:textId="77777777" w:rsidR="0085733C" w:rsidRPr="0085733C" w:rsidRDefault="0085733C" w:rsidP="00AC1C30">
      <w:pPr>
        <w:jc w:val="both"/>
        <w:rPr>
          <w:color w:val="404040" w:themeColor="text1" w:themeTint="BF"/>
        </w:rPr>
      </w:pPr>
      <w:r w:rsidRPr="0085733C">
        <w:rPr>
          <w:color w:val="404040" w:themeColor="text1" w:themeTint="BF"/>
        </w:rPr>
        <w:t xml:space="preserve">O time de análise econômica e de crédito é estruturado por economistas e analistas financeiros com experiência na construção de modelos econométricos, análises fundamentalistas e de crédito corporativo, além de acesso a ferramentas de mercado como Bloomberg, Reuters, Economática e Quantum, que apoiam a tomada de decisão. </w:t>
      </w:r>
      <w:r w:rsidRPr="0085733C">
        <w:rPr>
          <w:color w:val="404040" w:themeColor="text1" w:themeTint="BF"/>
        </w:rPr>
        <w:lastRenderedPageBreak/>
        <w:t>Complementarmente, a área de risco é chefiada por diretor registrado perante a CVM, assegurando independência e rigor técnico na verificação do enquadramento legal e regulatório dos fundos.</w:t>
      </w:r>
    </w:p>
    <w:p w14:paraId="4998033D" w14:textId="77777777" w:rsidR="0085733C" w:rsidRPr="0085733C" w:rsidRDefault="0085733C" w:rsidP="00AC1C30">
      <w:pPr>
        <w:jc w:val="both"/>
        <w:rPr>
          <w:color w:val="404040" w:themeColor="text1" w:themeTint="BF"/>
        </w:rPr>
      </w:pPr>
      <w:r w:rsidRPr="0085733C">
        <w:rPr>
          <w:color w:val="404040" w:themeColor="text1" w:themeTint="BF"/>
        </w:rPr>
        <w:t>A instituição mantém ainda programas permanentes de capacitação, incluindo treinamentos internos, participação em cursos de mercado, workshops e incentivo à obtenção de certificações, além da Academia Daycoval, que promove formação contínua em temas regulatórios, compliance e prevenção à lavagem de dinheiro. Essa política de desenvolvimento contribui para a atualização constante das competências técnicas do time e para a retenção de talentos estratégicos.</w:t>
      </w:r>
    </w:p>
    <w:p w14:paraId="659C0D3C" w14:textId="370BF7CB" w:rsidR="00F430F3" w:rsidRPr="0085733C" w:rsidRDefault="0085733C" w:rsidP="00AC1C30">
      <w:pPr>
        <w:jc w:val="both"/>
        <w:rPr>
          <w:color w:val="404040" w:themeColor="text1" w:themeTint="BF"/>
        </w:rPr>
      </w:pPr>
      <w:r w:rsidRPr="0085733C">
        <w:rPr>
          <w:color w:val="404040" w:themeColor="text1" w:themeTint="BF"/>
        </w:rPr>
        <w:t>Dessa forma, a qualificação do corpo técnico da Daycoval Asset reflete a combinação entre experiência prática, especialização acadêmica e compromisso com padrões de excelência, sustentando a credibilidade da instituição na gestão profissional de recursos de terceiros.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385677" w:rsidRPr="00385677" w14:paraId="59D50E52" w14:textId="77777777" w:rsidTr="003804EF">
        <w:tc>
          <w:tcPr>
            <w:tcW w:w="8494" w:type="dxa"/>
          </w:tcPr>
          <w:p w14:paraId="0C314948" w14:textId="77777777" w:rsidR="003804EF" w:rsidRPr="00385677" w:rsidRDefault="003804EF" w:rsidP="00170D9F">
            <w:pPr>
              <w:rPr>
                <w:b/>
                <w:bCs/>
                <w:color w:val="404040" w:themeColor="text1" w:themeTint="BF"/>
              </w:rPr>
            </w:pPr>
            <w:r w:rsidRPr="00385677">
              <w:rPr>
                <w:b/>
                <w:bCs/>
                <w:color w:val="3B3B98"/>
              </w:rPr>
              <w:t>SOBRE SEGREGAÇÃO DE ATIVIDADES:</w:t>
            </w:r>
          </w:p>
        </w:tc>
      </w:tr>
    </w:tbl>
    <w:p w14:paraId="19F906A2" w14:textId="77777777" w:rsidR="00A81009" w:rsidRPr="00A81009" w:rsidRDefault="00A81009" w:rsidP="00AC1C30">
      <w:pPr>
        <w:jc w:val="both"/>
        <w:rPr>
          <w:color w:val="404040" w:themeColor="text1" w:themeTint="BF"/>
        </w:rPr>
      </w:pPr>
      <w:r w:rsidRPr="00A81009">
        <w:rPr>
          <w:color w:val="404040" w:themeColor="text1" w:themeTint="BF"/>
        </w:rPr>
        <w:t>A Daycoval Asset Management Administração de Recursos Ltda. adota uma estrutura organizacional que assegura a segregação plena das atividades de gestão de recursos em relação às demais áreas do Conglomerado Daycoval. A gestora atua exclusivamente na administração de recursos de terceiros, mantendo independência operacional e decisória, com unidades de negócios, compliance, controles internos e gestão de riscos fisicamente e logicamente separadas das demais empresas do grupo.</w:t>
      </w:r>
    </w:p>
    <w:p w14:paraId="01802CC1" w14:textId="77777777" w:rsidR="00A81009" w:rsidRPr="00A81009" w:rsidRDefault="00A81009" w:rsidP="00AC1C30">
      <w:pPr>
        <w:jc w:val="both"/>
        <w:rPr>
          <w:color w:val="404040" w:themeColor="text1" w:themeTint="BF"/>
        </w:rPr>
      </w:pPr>
      <w:r w:rsidRPr="00A81009">
        <w:rPr>
          <w:color w:val="404040" w:themeColor="text1" w:themeTint="BF"/>
        </w:rPr>
        <w:t>Para garantir essa segregação, são utilizados mecanismos de controle de acesso restrito, como reconhecimento facial, crachás eletrônicos e biometria, além de servidores exclusivos e monitoramento contínuo realizado por equipe dedicada de tecnologia da informação. A política de barreiras informacionais da instituição veda a circulação indevida de informações estratégicas entre áreas potencialmente conflitantes, assegurando transparência, lisura e mitigação de riscos de conflito de interesse.</w:t>
      </w:r>
    </w:p>
    <w:p w14:paraId="2D41888F" w14:textId="77777777" w:rsidR="00A81009" w:rsidRPr="00A81009" w:rsidRDefault="00A81009" w:rsidP="00AC1C30">
      <w:pPr>
        <w:jc w:val="both"/>
        <w:rPr>
          <w:color w:val="404040" w:themeColor="text1" w:themeTint="BF"/>
        </w:rPr>
      </w:pPr>
      <w:r w:rsidRPr="00A81009">
        <w:rPr>
          <w:color w:val="404040" w:themeColor="text1" w:themeTint="BF"/>
        </w:rPr>
        <w:t>Complementarmente, a governança da Daycoval Asset é estruturada segundo o modelo de linhas de defesa, em que a função de gestão é independente da área de riscos e compliance, que por sua vez reporta diretamente à alta administração. Essa configuração assegura que os processos decisórios sejam conduzidos com rigor técnico e em conformidade regulatória, preservando a integridade na administração de recursos de terceiros.</w:t>
      </w:r>
    </w:p>
    <w:p w14:paraId="752E3494" w14:textId="3C9DB188" w:rsidR="00F430F3" w:rsidRPr="00B3609A" w:rsidRDefault="00A81009" w:rsidP="00AC1C30">
      <w:pPr>
        <w:jc w:val="both"/>
        <w:rPr>
          <w:color w:val="404040" w:themeColor="text1" w:themeTint="BF"/>
        </w:rPr>
      </w:pPr>
      <w:r w:rsidRPr="00A81009">
        <w:rPr>
          <w:color w:val="404040" w:themeColor="text1" w:themeTint="BF"/>
        </w:rPr>
        <w:t>Assim, a segregação de atividades implementada pela Daycoval Asset evidencia o compromisso da instituição com elevados padrões de governança e com a proteção dos interesses dos cotistas</w:t>
      </w:r>
      <w:r w:rsidR="00D9291D">
        <w:rPr>
          <w:color w:val="404040" w:themeColor="text1" w:themeTint="BF"/>
        </w:rPr>
        <w:t>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BA026F" w:rsidRPr="00385677" w14:paraId="1E27EC98" w14:textId="77777777" w:rsidTr="00170D9F">
        <w:tc>
          <w:tcPr>
            <w:tcW w:w="8494" w:type="dxa"/>
          </w:tcPr>
          <w:p w14:paraId="7109C06C" w14:textId="77777777" w:rsidR="00BA026F" w:rsidRPr="00385677" w:rsidRDefault="00BA026F" w:rsidP="00170D9F">
            <w:pPr>
              <w:rPr>
                <w:b/>
                <w:bCs/>
                <w:color w:val="404040" w:themeColor="text1" w:themeTint="BF"/>
              </w:rPr>
            </w:pPr>
            <w:r w:rsidRPr="00385677">
              <w:rPr>
                <w:b/>
                <w:bCs/>
                <w:color w:val="3B3B98"/>
              </w:rPr>
              <w:t xml:space="preserve">SOBRE </w:t>
            </w:r>
            <w:r>
              <w:rPr>
                <w:b/>
                <w:bCs/>
                <w:color w:val="3B3B98"/>
              </w:rPr>
              <w:t>REGULARIDADE FISCAL E PREVIDENCIÁRIA</w:t>
            </w:r>
            <w:r w:rsidRPr="00385677">
              <w:rPr>
                <w:b/>
                <w:bCs/>
                <w:color w:val="3B3B98"/>
              </w:rPr>
              <w:t>:</w:t>
            </w:r>
          </w:p>
        </w:tc>
      </w:tr>
    </w:tbl>
    <w:p w14:paraId="436889F5" w14:textId="77777777" w:rsidR="00D9291D" w:rsidRPr="00D9291D" w:rsidRDefault="00D9291D" w:rsidP="00AC1C30">
      <w:pPr>
        <w:jc w:val="both"/>
        <w:rPr>
          <w:color w:val="404040" w:themeColor="text1" w:themeTint="BF"/>
        </w:rPr>
      </w:pPr>
      <w:r w:rsidRPr="00D9291D">
        <w:rPr>
          <w:color w:val="404040" w:themeColor="text1" w:themeTint="BF"/>
        </w:rPr>
        <w:t>A Daycoval Asset Management Administração de Recursos Ltda. mantém plena regularidade fiscal e previdenciária, em consonância com as exigências legais e regulatórias aplicáveis às instituições do mercado financeiro. A gestora apresenta situação cadastral ativa perante os órgãos competentes, com certidões negativas de débitos regularmente emitidas junto à Receita Federal, à Procuradoria-Geral da Fazenda Nacional e ao Instituto Nacional do Seguro Social (INSS), demonstrando conformidade no recolhimento de tributos e contribuições sociais.</w:t>
      </w:r>
    </w:p>
    <w:p w14:paraId="1C81662E" w14:textId="77777777" w:rsidR="00D9291D" w:rsidRPr="00D9291D" w:rsidRDefault="00D9291D" w:rsidP="00AC1C30">
      <w:pPr>
        <w:jc w:val="both"/>
        <w:rPr>
          <w:color w:val="404040" w:themeColor="text1" w:themeTint="BF"/>
        </w:rPr>
      </w:pPr>
      <w:r w:rsidRPr="00D9291D">
        <w:rPr>
          <w:color w:val="404040" w:themeColor="text1" w:themeTint="BF"/>
        </w:rPr>
        <w:lastRenderedPageBreak/>
        <w:t>Além disso, a instituição adota controles internos robustos para garantir o cumprimento tempestivo de suas obrigações fiscais, trabalhistas e previdenciárias, incluindo acompanhamento contínuo por equipe contábil e auditorias externas independentes que reforçam a transparência e a confiabilidade das demonstrações financeiras.</w:t>
      </w:r>
    </w:p>
    <w:p w14:paraId="4B1C2795" w14:textId="51E23E6D" w:rsidR="00F430F3" w:rsidRPr="00BD5A58" w:rsidRDefault="00D9291D" w:rsidP="00AC1C30">
      <w:pPr>
        <w:jc w:val="both"/>
        <w:rPr>
          <w:color w:val="404040" w:themeColor="text1" w:themeTint="BF"/>
        </w:rPr>
      </w:pPr>
      <w:r w:rsidRPr="00D9291D">
        <w:rPr>
          <w:color w:val="404040" w:themeColor="text1" w:themeTint="BF"/>
        </w:rPr>
        <w:t>Essa postura evidencia não apenas a solidez econômico-financeira da Daycoval Asset, mas também o compromisso da instituição com a conformidade regulatória e com a manutenção de elevados padrões de governança corporativa, o que contribui para a preservação da confiança de clientes, cotistas e órgãos de supervisão</w:t>
      </w:r>
      <w:r>
        <w:rPr>
          <w:color w:val="404040" w:themeColor="text1" w:themeTint="BF"/>
        </w:rPr>
        <w:t>.</w:t>
      </w: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6E6BAD" w:rsidRPr="006E6BAD" w14:paraId="48A4C6C6" w14:textId="77777777" w:rsidTr="0082059B">
        <w:tc>
          <w:tcPr>
            <w:tcW w:w="8499" w:type="dxa"/>
            <w:shd w:val="clear" w:color="auto" w:fill="3B3B98"/>
          </w:tcPr>
          <w:p w14:paraId="526004CB" w14:textId="73E6F4DF" w:rsidR="006E6BAD" w:rsidRPr="00B50007" w:rsidRDefault="003804EF" w:rsidP="00B50007">
            <w:pPr>
              <w:rPr>
                <w:b/>
                <w:bCs/>
              </w:rPr>
            </w:pPr>
            <w:r w:rsidRPr="0082059B">
              <w:rPr>
                <w:b/>
                <w:bCs/>
                <w:color w:val="FFFFFF" w:themeColor="background1"/>
              </w:rPr>
              <w:t>AVALIAÇÃO DA ADERÊNCIA DA RENTABILIDADE AOS INDICADORES DE DESEMPENHO E RISCOS ASSUMIDOS PELOS FUNDOS SOB SUA GESTÃO E ADMINISTRAÇÃO, NO PERÍODO MÍNIMO DE 2 (DOIS) ANOS ANTERIORES AO CREDENCIAMENTO</w:t>
            </w:r>
          </w:p>
        </w:tc>
      </w:tr>
    </w:tbl>
    <w:p w14:paraId="6E897318" w14:textId="77777777" w:rsidR="00114B52" w:rsidRDefault="00114B52" w:rsidP="00AC1C30">
      <w:pPr>
        <w:jc w:val="both"/>
        <w:rPr>
          <w:color w:val="404040" w:themeColor="text1" w:themeTint="BF"/>
        </w:rPr>
      </w:pPr>
      <w:r w:rsidRPr="00114B52">
        <w:rPr>
          <w:color w:val="404040" w:themeColor="text1" w:themeTint="BF"/>
        </w:rPr>
        <w:t xml:space="preserve">Conforme o Questionário de </w:t>
      </w:r>
      <w:proofErr w:type="spellStart"/>
      <w:r w:rsidRPr="00114B52">
        <w:rPr>
          <w:color w:val="404040" w:themeColor="text1" w:themeTint="BF"/>
        </w:rPr>
        <w:t>Due</w:t>
      </w:r>
      <w:proofErr w:type="spellEnd"/>
      <w:r w:rsidRPr="00114B52">
        <w:rPr>
          <w:color w:val="404040" w:themeColor="text1" w:themeTint="BF"/>
        </w:rPr>
        <w:t xml:space="preserve"> </w:t>
      </w:r>
      <w:proofErr w:type="spellStart"/>
      <w:r w:rsidRPr="00114B52">
        <w:rPr>
          <w:color w:val="404040" w:themeColor="text1" w:themeTint="BF"/>
        </w:rPr>
        <w:t>Diligence</w:t>
      </w:r>
      <w:proofErr w:type="spellEnd"/>
      <w:r w:rsidRPr="00114B52">
        <w:rPr>
          <w:color w:val="404040" w:themeColor="text1" w:themeTint="BF"/>
        </w:rPr>
        <w:t xml:space="preserve"> da </w:t>
      </w:r>
      <w:proofErr w:type="spellStart"/>
      <w:r w:rsidRPr="00114B52">
        <w:rPr>
          <w:color w:val="404040" w:themeColor="text1" w:themeTint="BF"/>
        </w:rPr>
        <w:t>Daycoval</w:t>
      </w:r>
      <w:proofErr w:type="spellEnd"/>
      <w:r w:rsidRPr="00114B52">
        <w:rPr>
          <w:color w:val="404040" w:themeColor="text1" w:themeTint="BF"/>
        </w:rPr>
        <w:t xml:space="preserve"> Asset (junho/2025), a avaliação da aderência da rentabilidade dos fundos aos indicadores de desempenho e riscos assumidos é realizada de forma contínua e estruturada, cobrindo o período mínimo de dois anos exigido para o credenciamento. </w:t>
      </w:r>
    </w:p>
    <w:p w14:paraId="736F4262" w14:textId="77777777" w:rsidR="00114B52" w:rsidRDefault="00114B52" w:rsidP="00AC1C30">
      <w:pPr>
        <w:jc w:val="both"/>
        <w:rPr>
          <w:color w:val="404040" w:themeColor="text1" w:themeTint="BF"/>
        </w:rPr>
      </w:pPr>
      <w:r w:rsidRPr="00114B52">
        <w:rPr>
          <w:color w:val="404040" w:themeColor="text1" w:themeTint="BF"/>
        </w:rPr>
        <w:t xml:space="preserve">O processo de monitoramento ocorre diariamente e de maneira segregada da área de gestão, com reporte direto ao Diretor de Riscos, garantindo independência e robustez. As carteiras são analisadas em D-2 e D-1 por meio do sistema </w:t>
      </w:r>
      <w:proofErr w:type="spellStart"/>
      <w:r w:rsidRPr="00114B52">
        <w:rPr>
          <w:color w:val="404040" w:themeColor="text1" w:themeTint="BF"/>
        </w:rPr>
        <w:t>Nexxus</w:t>
      </w:r>
      <w:proofErr w:type="spellEnd"/>
      <w:r w:rsidRPr="00114B52">
        <w:rPr>
          <w:color w:val="404040" w:themeColor="text1" w:themeTint="BF"/>
        </w:rPr>
        <w:t xml:space="preserve">, contemplando três níveis de verificação: a classificação do fundo de acordo com as diretrizes da CVM e ANBIMA, a aderência às políticas de investimento previstas nos regulamentos e a consolidação das carteiras administradas. </w:t>
      </w:r>
    </w:p>
    <w:p w14:paraId="13604023" w14:textId="77777777" w:rsidR="00114B52" w:rsidRDefault="00114B52" w:rsidP="00AC1C30">
      <w:pPr>
        <w:jc w:val="both"/>
        <w:rPr>
          <w:color w:val="404040" w:themeColor="text1" w:themeTint="BF"/>
        </w:rPr>
      </w:pPr>
      <w:r w:rsidRPr="00114B52">
        <w:rPr>
          <w:color w:val="404040" w:themeColor="text1" w:themeTint="BF"/>
        </w:rPr>
        <w:t xml:space="preserve">Para fundos de ações, a métrica central utilizada é o Tracking </w:t>
      </w:r>
      <w:proofErr w:type="spellStart"/>
      <w:r w:rsidRPr="00114B52">
        <w:rPr>
          <w:color w:val="404040" w:themeColor="text1" w:themeTint="BF"/>
        </w:rPr>
        <w:t>Error</w:t>
      </w:r>
      <w:proofErr w:type="spellEnd"/>
      <w:r w:rsidRPr="00114B52">
        <w:rPr>
          <w:color w:val="404040" w:themeColor="text1" w:themeTint="BF"/>
        </w:rPr>
        <w:t xml:space="preserve">, enquanto nos fundos multimercados e de renda fixa ativo são aplicados o </w:t>
      </w:r>
      <w:proofErr w:type="spellStart"/>
      <w:r w:rsidRPr="00114B52">
        <w:rPr>
          <w:color w:val="404040" w:themeColor="text1" w:themeTint="BF"/>
        </w:rPr>
        <w:t>VaR</w:t>
      </w:r>
      <w:proofErr w:type="spellEnd"/>
      <w:r w:rsidRPr="00114B52">
        <w:rPr>
          <w:color w:val="404040" w:themeColor="text1" w:themeTint="BF"/>
        </w:rPr>
        <w:t xml:space="preserve"> paramétrico, testes de estresse e </w:t>
      </w:r>
      <w:proofErr w:type="spellStart"/>
      <w:r w:rsidRPr="00114B52">
        <w:rPr>
          <w:color w:val="404040" w:themeColor="text1" w:themeTint="BF"/>
        </w:rPr>
        <w:t>backtesting</w:t>
      </w:r>
      <w:proofErr w:type="spellEnd"/>
      <w:r w:rsidRPr="00114B52">
        <w:rPr>
          <w:color w:val="404040" w:themeColor="text1" w:themeTint="BF"/>
        </w:rPr>
        <w:t xml:space="preserve">, cuja periodicidade de aferição é semestral, assegurando compatibilidade entre os riscos projetados e os resultados efetivos. </w:t>
      </w:r>
    </w:p>
    <w:p w14:paraId="20A4EFFC" w14:textId="77777777" w:rsidR="00114B52" w:rsidRDefault="00114B52" w:rsidP="00AC1C30">
      <w:pPr>
        <w:jc w:val="both"/>
        <w:rPr>
          <w:color w:val="404040" w:themeColor="text1" w:themeTint="BF"/>
        </w:rPr>
      </w:pPr>
      <w:r w:rsidRPr="00114B52">
        <w:rPr>
          <w:color w:val="404040" w:themeColor="text1" w:themeTint="BF"/>
        </w:rPr>
        <w:t xml:space="preserve">Nos últimos 24 meses, não foram identificadas violações aos limites de estresse estabelecidos, o que evidencia consistência na gestão de riscos. Eventuais desenquadramentos pontuais são imediatamente reportados pela equipe de risco aos gestores responsáveis, que devem promover as devidas correções e apresentar justificativas. </w:t>
      </w:r>
    </w:p>
    <w:p w14:paraId="7B7EAFF3" w14:textId="6E893436" w:rsidR="00114B52" w:rsidRPr="00114B52" w:rsidRDefault="00114B52" w:rsidP="00AC1C30">
      <w:pPr>
        <w:jc w:val="both"/>
        <w:rPr>
          <w:color w:val="404040" w:themeColor="text1" w:themeTint="BF"/>
        </w:rPr>
      </w:pPr>
      <w:r w:rsidRPr="00114B52">
        <w:rPr>
          <w:color w:val="404040" w:themeColor="text1" w:themeTint="BF"/>
        </w:rPr>
        <w:t>Dessa forma, observa-se que a instituição mantém processos sólidos de controle e governança, que asseguram a aderência entre rentabilidade, perfil de risco e indicadores de desempenho, confirmando a compatibilidade entre os resultados entregues e os riscos assumidos nos fundos sob sua gestão.</w:t>
      </w:r>
    </w:p>
    <w:p w14:paraId="750897A6" w14:textId="77777777" w:rsidR="00F430F3" w:rsidRDefault="00F430F3" w:rsidP="00B50007">
      <w:pPr>
        <w:rPr>
          <w:color w:val="404040" w:themeColor="text1" w:themeTint="BF"/>
        </w:rPr>
      </w:pP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0E6176" w:rsidRPr="006E6BAD" w14:paraId="085E484D" w14:textId="77777777" w:rsidTr="00170D9F">
        <w:trPr>
          <w:trHeight w:val="644"/>
        </w:trPr>
        <w:tc>
          <w:tcPr>
            <w:tcW w:w="8499" w:type="dxa"/>
            <w:shd w:val="clear" w:color="auto" w:fill="3B3B98"/>
          </w:tcPr>
          <w:p w14:paraId="4E64B41B" w14:textId="77777777" w:rsidR="000E6176" w:rsidRPr="00B50007" w:rsidRDefault="000E6176" w:rsidP="00170D9F">
            <w:pPr>
              <w:rPr>
                <w:b/>
                <w:bCs/>
              </w:rPr>
            </w:pPr>
            <w:r w:rsidRPr="001F140C">
              <w:rPr>
                <w:b/>
                <w:bCs/>
                <w:color w:val="FFFFFF" w:themeColor="background1"/>
              </w:rPr>
              <w:t>EMBASAMENTO EM FORMULÁRIOS DE DILIGÊNCIA PREVISTOS EM CÓDIGOS DE AUTORREGULAÇÃO RELATIVOS À ADMINISTRAÇÃO DE RECURSOS DE TERCEIROS</w:t>
            </w:r>
          </w:p>
        </w:tc>
      </w:tr>
    </w:tbl>
    <w:p w14:paraId="02FF4DEE" w14:textId="77777777" w:rsidR="00A31C8A" w:rsidRPr="00A31C8A" w:rsidRDefault="00A31C8A" w:rsidP="00AC1C30">
      <w:pPr>
        <w:jc w:val="both"/>
        <w:rPr>
          <w:color w:val="404040" w:themeColor="text1" w:themeTint="BF"/>
        </w:rPr>
      </w:pPr>
      <w:r w:rsidRPr="00A31C8A">
        <w:rPr>
          <w:color w:val="404040" w:themeColor="text1" w:themeTint="BF"/>
        </w:rPr>
        <w:t xml:space="preserve">O embasamento para a avaliação da aderência da rentabilidade aos indicadores de desempenho e riscos assumidos encontra respaldo nos formulários de diligência previstos nos Códigos de Autorregulação da ANBIMA relativos à Administração de Recursos de Terceiros. </w:t>
      </w:r>
    </w:p>
    <w:p w14:paraId="70E8DD5D" w14:textId="77777777" w:rsidR="00A31C8A" w:rsidRDefault="00A31C8A" w:rsidP="00AC1C30">
      <w:pPr>
        <w:jc w:val="both"/>
        <w:rPr>
          <w:color w:val="404040" w:themeColor="text1" w:themeTint="BF"/>
        </w:rPr>
      </w:pPr>
      <w:r w:rsidRPr="00A31C8A">
        <w:rPr>
          <w:color w:val="404040" w:themeColor="text1" w:themeTint="BF"/>
        </w:rPr>
        <w:lastRenderedPageBreak/>
        <w:t xml:space="preserve">Tais códigos estabelecem padrões mínimos de governança, transparência e controles, determinando que gestores adotem metodologias formais e verificáveis para aferir a compatibilidade entre o desempenho obtido e os riscos incorridos. No caso da Daycoval Asset, o preenchimento do Questionário de </w:t>
      </w:r>
      <w:proofErr w:type="spellStart"/>
      <w:r w:rsidRPr="00A31C8A">
        <w:rPr>
          <w:color w:val="404040" w:themeColor="text1" w:themeTint="BF"/>
        </w:rPr>
        <w:t>Due</w:t>
      </w:r>
      <w:proofErr w:type="spellEnd"/>
      <w:r w:rsidRPr="00A31C8A">
        <w:rPr>
          <w:color w:val="404040" w:themeColor="text1" w:themeTint="BF"/>
        </w:rPr>
        <w:t xml:space="preserve"> </w:t>
      </w:r>
      <w:proofErr w:type="spellStart"/>
      <w:r w:rsidRPr="00A31C8A">
        <w:rPr>
          <w:color w:val="404040" w:themeColor="text1" w:themeTint="BF"/>
        </w:rPr>
        <w:t>Diligence</w:t>
      </w:r>
      <w:proofErr w:type="spellEnd"/>
      <w:r w:rsidRPr="00A31C8A">
        <w:rPr>
          <w:color w:val="404040" w:themeColor="text1" w:themeTint="BF"/>
        </w:rPr>
        <w:t xml:space="preserve"> reflete a observância a essas exigências, ao detalhar os processos de monitoramento contínuo, as métricas de risco utilizadas — como Tracking </w:t>
      </w:r>
      <w:proofErr w:type="spellStart"/>
      <w:r w:rsidRPr="00A31C8A">
        <w:rPr>
          <w:color w:val="404040" w:themeColor="text1" w:themeTint="BF"/>
        </w:rPr>
        <w:t>Error</w:t>
      </w:r>
      <w:proofErr w:type="spellEnd"/>
      <w:r w:rsidRPr="00A31C8A">
        <w:rPr>
          <w:color w:val="404040" w:themeColor="text1" w:themeTint="BF"/>
        </w:rPr>
        <w:t xml:space="preserve">, </w:t>
      </w:r>
      <w:proofErr w:type="spellStart"/>
      <w:r w:rsidRPr="00A31C8A">
        <w:rPr>
          <w:color w:val="404040" w:themeColor="text1" w:themeTint="BF"/>
        </w:rPr>
        <w:t>VaR</w:t>
      </w:r>
      <w:proofErr w:type="spellEnd"/>
      <w:r w:rsidRPr="00A31C8A">
        <w:rPr>
          <w:color w:val="404040" w:themeColor="text1" w:themeTint="BF"/>
        </w:rPr>
        <w:t xml:space="preserve">, Stress </w:t>
      </w:r>
      <w:proofErr w:type="spellStart"/>
      <w:r w:rsidRPr="00A31C8A">
        <w:rPr>
          <w:color w:val="404040" w:themeColor="text1" w:themeTint="BF"/>
        </w:rPr>
        <w:t>Testing</w:t>
      </w:r>
      <w:proofErr w:type="spellEnd"/>
      <w:r w:rsidRPr="00A31C8A">
        <w:rPr>
          <w:color w:val="404040" w:themeColor="text1" w:themeTint="BF"/>
        </w:rPr>
        <w:t xml:space="preserve"> e </w:t>
      </w:r>
      <w:proofErr w:type="spellStart"/>
      <w:r w:rsidRPr="00A31C8A">
        <w:rPr>
          <w:color w:val="404040" w:themeColor="text1" w:themeTint="BF"/>
        </w:rPr>
        <w:t>Backtesting</w:t>
      </w:r>
      <w:proofErr w:type="spellEnd"/>
      <w:r w:rsidRPr="00A31C8A">
        <w:rPr>
          <w:color w:val="404040" w:themeColor="text1" w:themeTint="BF"/>
        </w:rPr>
        <w:t xml:space="preserve"> — e os mecanismos de reenquadramento em caso de desenquadramentos. </w:t>
      </w:r>
    </w:p>
    <w:p w14:paraId="67A1FC32" w14:textId="1D0D2241" w:rsidR="00F430F3" w:rsidRDefault="00A31C8A" w:rsidP="00AC1C30">
      <w:pPr>
        <w:jc w:val="both"/>
        <w:rPr>
          <w:color w:val="404040" w:themeColor="text1" w:themeTint="BF"/>
        </w:rPr>
      </w:pPr>
      <w:r w:rsidRPr="00A31C8A">
        <w:rPr>
          <w:color w:val="404040" w:themeColor="text1" w:themeTint="BF"/>
        </w:rPr>
        <w:t>Assim, o documento não apenas comprova a aderência prática da instituição aos critérios técnicos exigidos, como também demonstra conformidade com a autorregulação do mercado de capitais, que, por meio da ANBIMA, atua como complemento às normas estatais da CVM e assegura um padrão ético e operacional uniforme no setor.</w:t>
      </w:r>
    </w:p>
    <w:p w14:paraId="1B50EA88" w14:textId="14C51421" w:rsidR="00BB44DD" w:rsidRPr="00385677" w:rsidRDefault="003804EF" w:rsidP="00BB44DD">
      <w:pPr>
        <w:rPr>
          <w:b/>
          <w:bCs/>
          <w:color w:val="3B3B98"/>
          <w:sz w:val="28"/>
          <w:szCs w:val="28"/>
        </w:rPr>
      </w:pPr>
      <w:r w:rsidRPr="00385677">
        <w:rPr>
          <w:b/>
          <w:bCs/>
          <w:color w:val="3B3B98"/>
          <w:sz w:val="28"/>
          <w:szCs w:val="28"/>
        </w:rPr>
        <w:t>V</w:t>
      </w:r>
      <w:r w:rsidR="00BB44DD" w:rsidRPr="00385677">
        <w:rPr>
          <w:b/>
          <w:bCs/>
          <w:color w:val="3B3B98"/>
          <w:sz w:val="28"/>
          <w:szCs w:val="28"/>
        </w:rPr>
        <w:t xml:space="preserve"> – PARECER </w:t>
      </w:r>
      <w:r w:rsidR="00B50007" w:rsidRPr="00385677">
        <w:rPr>
          <w:b/>
          <w:bCs/>
          <w:color w:val="3B3B98"/>
          <w:sz w:val="28"/>
          <w:szCs w:val="28"/>
        </w:rPr>
        <w:t xml:space="preserve">SOBRE A INSTITUIÇÃO </w:t>
      </w:r>
    </w:p>
    <w:p w14:paraId="00B26186" w14:textId="77777777" w:rsidR="00575897" w:rsidRPr="00575897" w:rsidRDefault="00575897" w:rsidP="00AC1C30">
      <w:pPr>
        <w:jc w:val="both"/>
        <w:rPr>
          <w:color w:val="404040" w:themeColor="text1" w:themeTint="BF"/>
        </w:rPr>
      </w:pPr>
      <w:r w:rsidRPr="00575897">
        <w:rPr>
          <w:color w:val="404040" w:themeColor="text1" w:themeTint="BF"/>
        </w:rPr>
        <w:t>O presente parecer tem por finalidade avaliar a estrutura e práticas da Daycoval Asset Management Administração de Recursos Ltda., considerando sua aderência aos requisitos de diligência estabelecidos pelos Códigos de Autorregulação da ANBIMA e pela regulação aplicável à administração de recursos de terceiros.</w:t>
      </w:r>
    </w:p>
    <w:p w14:paraId="5653F81E" w14:textId="77777777" w:rsidR="00575897" w:rsidRPr="00575897" w:rsidRDefault="00575897" w:rsidP="00AC1C30">
      <w:pPr>
        <w:jc w:val="both"/>
        <w:rPr>
          <w:color w:val="404040" w:themeColor="text1" w:themeTint="BF"/>
        </w:rPr>
      </w:pPr>
      <w:r w:rsidRPr="00575897">
        <w:rPr>
          <w:color w:val="404040" w:themeColor="text1" w:themeTint="BF"/>
        </w:rPr>
        <w:t>A instituição, constituída em 2004 e registrada na Comissão de Valores Mobiliários (CVM) sob o Ato Declaratório nº 8.056, encontra-se devidamente autorizada a exercer a atividade de gestão de carteiras de valores mobiliários, sendo também associada à ANBIMA e signatária de seus principais códigos, tais como o Código de Administração de Recursos de Terceiros, o Código de Ética e o Código de Processos de Regulação e Melhores Práticas. O controle societário é integralmente vinculado ao Banco Daycoval S.A., o que reforça a robustez financeira e institucional do grupo.</w:t>
      </w:r>
    </w:p>
    <w:p w14:paraId="6E6277B4" w14:textId="77777777" w:rsidR="00575897" w:rsidRPr="00575897" w:rsidRDefault="00575897" w:rsidP="00AC1C30">
      <w:pPr>
        <w:jc w:val="both"/>
        <w:rPr>
          <w:color w:val="404040" w:themeColor="text1" w:themeTint="BF"/>
        </w:rPr>
      </w:pPr>
      <w:r w:rsidRPr="00575897">
        <w:rPr>
          <w:color w:val="404040" w:themeColor="text1" w:themeTint="BF"/>
        </w:rPr>
        <w:t xml:space="preserve">Do ponto de vista operacional, a Daycoval Asset mantém governança estruturada, com segregação clara entre as áreas de gestão, riscos e compliance, assegurando independência na tomada de decisões e mitigação de conflitos de interesse. A área de riscos reporta-se diretamente à diretoria responsável, elaborando relatórios diários de mercado, liquidez e enquadramento, além de monitorar métricas como Tracking </w:t>
      </w:r>
      <w:proofErr w:type="spellStart"/>
      <w:r w:rsidRPr="00575897">
        <w:rPr>
          <w:color w:val="404040" w:themeColor="text1" w:themeTint="BF"/>
        </w:rPr>
        <w:t>Error</w:t>
      </w:r>
      <w:proofErr w:type="spellEnd"/>
      <w:r w:rsidRPr="00575897">
        <w:rPr>
          <w:color w:val="404040" w:themeColor="text1" w:themeTint="BF"/>
        </w:rPr>
        <w:t xml:space="preserve">, </w:t>
      </w:r>
      <w:proofErr w:type="spellStart"/>
      <w:r w:rsidRPr="00575897">
        <w:rPr>
          <w:color w:val="404040" w:themeColor="text1" w:themeTint="BF"/>
        </w:rPr>
        <w:t>Value</w:t>
      </w:r>
      <w:proofErr w:type="spellEnd"/>
      <w:r w:rsidRPr="00575897">
        <w:rPr>
          <w:color w:val="404040" w:themeColor="text1" w:themeTint="BF"/>
        </w:rPr>
        <w:t xml:space="preserve"> </w:t>
      </w:r>
      <w:proofErr w:type="spellStart"/>
      <w:r w:rsidRPr="00575897">
        <w:rPr>
          <w:color w:val="404040" w:themeColor="text1" w:themeTint="BF"/>
        </w:rPr>
        <w:t>at</w:t>
      </w:r>
      <w:proofErr w:type="spellEnd"/>
      <w:r w:rsidRPr="00575897">
        <w:rPr>
          <w:color w:val="404040" w:themeColor="text1" w:themeTint="BF"/>
        </w:rPr>
        <w:t xml:space="preserve"> Risk (</w:t>
      </w:r>
      <w:proofErr w:type="spellStart"/>
      <w:r w:rsidRPr="00575897">
        <w:rPr>
          <w:color w:val="404040" w:themeColor="text1" w:themeTint="BF"/>
        </w:rPr>
        <w:t>VaR</w:t>
      </w:r>
      <w:proofErr w:type="spellEnd"/>
      <w:r w:rsidRPr="00575897">
        <w:rPr>
          <w:color w:val="404040" w:themeColor="text1" w:themeTint="BF"/>
        </w:rPr>
        <w:t xml:space="preserve">), Stress </w:t>
      </w:r>
      <w:proofErr w:type="spellStart"/>
      <w:r w:rsidRPr="00575897">
        <w:rPr>
          <w:color w:val="404040" w:themeColor="text1" w:themeTint="BF"/>
        </w:rPr>
        <w:t>Testing</w:t>
      </w:r>
      <w:proofErr w:type="spellEnd"/>
      <w:r w:rsidRPr="00575897">
        <w:rPr>
          <w:color w:val="404040" w:themeColor="text1" w:themeTint="BF"/>
        </w:rPr>
        <w:t xml:space="preserve"> e </w:t>
      </w:r>
      <w:proofErr w:type="spellStart"/>
      <w:r w:rsidRPr="00575897">
        <w:rPr>
          <w:color w:val="404040" w:themeColor="text1" w:themeTint="BF"/>
        </w:rPr>
        <w:t>Backtesting</w:t>
      </w:r>
      <w:proofErr w:type="spellEnd"/>
      <w:r w:rsidRPr="00575897">
        <w:rPr>
          <w:color w:val="404040" w:themeColor="text1" w:themeTint="BF"/>
        </w:rPr>
        <w:t>, que permitem avaliar a compatibilidade entre a rentabilidade dos fundos e os riscos assumidos. O monitoramento é realizado em frequência diária, com verificações adicionais semestrais de aderência, não tendo sido identificados excessos de limites de estresse nos últimos 24 meses, o que evidencia a consistência da gestão de risco.</w:t>
      </w:r>
    </w:p>
    <w:p w14:paraId="529733C5" w14:textId="77777777" w:rsidR="00575897" w:rsidRPr="00575897" w:rsidRDefault="00575897" w:rsidP="00AC1C30">
      <w:pPr>
        <w:jc w:val="both"/>
        <w:rPr>
          <w:color w:val="404040" w:themeColor="text1" w:themeTint="BF"/>
        </w:rPr>
      </w:pPr>
      <w:r w:rsidRPr="00575897">
        <w:rPr>
          <w:color w:val="404040" w:themeColor="text1" w:themeTint="BF"/>
        </w:rPr>
        <w:t>Adicionalmente, a política de crédito da instituição segue parâmetros claros de análise fundamentalista, modelagem financeira e atribuição de rating interno, com deliberação em comitês formais. Essa estrutura garante uniformidade e transparência nos processos decisórios, fortalecendo a capacidade de identificar e mitigar riscos de crédito.</w:t>
      </w:r>
    </w:p>
    <w:p w14:paraId="0DA9DE51" w14:textId="77777777" w:rsidR="00575897" w:rsidRPr="00575897" w:rsidRDefault="00575897" w:rsidP="00AC1C30">
      <w:pPr>
        <w:jc w:val="both"/>
        <w:rPr>
          <w:color w:val="404040" w:themeColor="text1" w:themeTint="BF"/>
        </w:rPr>
      </w:pPr>
      <w:r w:rsidRPr="00575897">
        <w:rPr>
          <w:color w:val="404040" w:themeColor="text1" w:themeTint="BF"/>
        </w:rPr>
        <w:t xml:space="preserve">O embasamento das práticas aqui descritas encontra respaldo direto nos formulários de diligência previstos nos Códigos de Autorregulação da ANBIMA, os quais exigem comprovação documental e verificável da aderência da rentabilidade aos indicadores de desempenho e aos riscos assumidos. O preenchimento do Questionário de </w:t>
      </w:r>
      <w:proofErr w:type="spellStart"/>
      <w:r w:rsidRPr="00575897">
        <w:rPr>
          <w:color w:val="404040" w:themeColor="text1" w:themeTint="BF"/>
        </w:rPr>
        <w:t>Due</w:t>
      </w:r>
      <w:proofErr w:type="spellEnd"/>
      <w:r w:rsidRPr="00575897">
        <w:rPr>
          <w:color w:val="404040" w:themeColor="text1" w:themeTint="BF"/>
        </w:rPr>
        <w:t xml:space="preserve"> </w:t>
      </w:r>
      <w:proofErr w:type="spellStart"/>
      <w:r w:rsidRPr="00575897">
        <w:rPr>
          <w:color w:val="404040" w:themeColor="text1" w:themeTint="BF"/>
        </w:rPr>
        <w:t>Diligence</w:t>
      </w:r>
      <w:proofErr w:type="spellEnd"/>
      <w:r w:rsidRPr="00575897">
        <w:rPr>
          <w:color w:val="404040" w:themeColor="text1" w:themeTint="BF"/>
        </w:rPr>
        <w:t xml:space="preserve"> (2025) pela Daycoval Asset demonstra a observância a esses padrões, consolidando seu alinhamento às melhores práticas de mercado e à regulação vigente.</w:t>
      </w:r>
    </w:p>
    <w:p w14:paraId="6211AA44" w14:textId="24B76D1F" w:rsidR="009C7BE6" w:rsidRPr="00575897" w:rsidRDefault="00575897" w:rsidP="00AC1C30">
      <w:pPr>
        <w:jc w:val="both"/>
        <w:rPr>
          <w:color w:val="404040" w:themeColor="text1" w:themeTint="BF"/>
        </w:rPr>
      </w:pPr>
      <w:r w:rsidRPr="00575897">
        <w:rPr>
          <w:color w:val="404040" w:themeColor="text1" w:themeTint="BF"/>
        </w:rPr>
        <w:lastRenderedPageBreak/>
        <w:t>A Daycoval Asset apresenta estrutura de governança, processos de risco e controles internos compatíveis com as exigências regulatórias e autorregulatórias aplicáveis, demonstrando capacidade de assegurar que a rentabilidade de seus fundos esteja aderente aos indicadores de desempenho e ao nível de risco assumido. Dessa forma, a instituição mostra-se apta e em conformidade com os padrões requeridos para a manutenção de seu credenciamento junto à ANBIMA e à CVM.</w:t>
      </w:r>
    </w:p>
    <w:p w14:paraId="7278CB64" w14:textId="7BC224FB" w:rsidR="003C1B37" w:rsidRPr="00385677" w:rsidRDefault="003C1B37" w:rsidP="00BB44DD">
      <w:pPr>
        <w:rPr>
          <w:b/>
          <w:bCs/>
          <w:color w:val="3B3B98"/>
          <w:sz w:val="28"/>
          <w:szCs w:val="28"/>
        </w:rPr>
      </w:pPr>
      <w:r w:rsidRPr="00385677">
        <w:rPr>
          <w:b/>
          <w:bCs/>
          <w:color w:val="3B3B98"/>
          <w:sz w:val="28"/>
          <w:szCs w:val="28"/>
        </w:rPr>
        <w:t>V</w:t>
      </w:r>
      <w:r w:rsidR="0047448C">
        <w:rPr>
          <w:b/>
          <w:bCs/>
          <w:color w:val="3B3B98"/>
          <w:sz w:val="28"/>
          <w:szCs w:val="28"/>
        </w:rPr>
        <w:t>I</w:t>
      </w:r>
      <w:r w:rsidRPr="00385677">
        <w:rPr>
          <w:b/>
          <w:bCs/>
          <w:color w:val="3B3B98"/>
          <w:sz w:val="28"/>
          <w:szCs w:val="28"/>
        </w:rPr>
        <w:t xml:space="preserve"> – RESPONSÁVEIS PELO CREDENCIAMENTO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405"/>
        <w:gridCol w:w="1841"/>
        <w:gridCol w:w="2124"/>
        <w:gridCol w:w="2124"/>
      </w:tblGrid>
      <w:tr w:rsidR="00D95107" w14:paraId="165CAEEE" w14:textId="77777777" w:rsidTr="0082059B">
        <w:trPr>
          <w:trHeight w:val="410"/>
        </w:trPr>
        <w:tc>
          <w:tcPr>
            <w:tcW w:w="2405" w:type="dxa"/>
            <w:shd w:val="clear" w:color="auto" w:fill="3B3B98"/>
            <w:vAlign w:val="center"/>
          </w:tcPr>
          <w:p w14:paraId="19FCA6EB" w14:textId="61ECAAA1" w:rsidR="00D95107" w:rsidRPr="0082059B" w:rsidRDefault="00D95107" w:rsidP="00341BEC">
            <w:pPr>
              <w:jc w:val="center"/>
              <w:rPr>
                <w:b/>
                <w:bCs/>
                <w:color w:val="FFFFFF" w:themeColor="background1"/>
              </w:rPr>
            </w:pPr>
            <w:r w:rsidRPr="0082059B">
              <w:rPr>
                <w:b/>
                <w:bCs/>
                <w:color w:val="FFFFFF" w:themeColor="background1"/>
              </w:rPr>
              <w:t>NOME</w:t>
            </w:r>
          </w:p>
        </w:tc>
        <w:tc>
          <w:tcPr>
            <w:tcW w:w="1841" w:type="dxa"/>
            <w:shd w:val="clear" w:color="auto" w:fill="3B3B98"/>
            <w:vAlign w:val="center"/>
          </w:tcPr>
          <w:p w14:paraId="0C9C3FBF" w14:textId="0A21E465" w:rsidR="00D95107" w:rsidRPr="0082059B" w:rsidRDefault="00D95107" w:rsidP="00341BEC">
            <w:pPr>
              <w:jc w:val="center"/>
              <w:rPr>
                <w:b/>
                <w:bCs/>
                <w:color w:val="FFFFFF" w:themeColor="background1"/>
              </w:rPr>
            </w:pPr>
            <w:r w:rsidRPr="0082059B">
              <w:rPr>
                <w:b/>
                <w:bCs/>
                <w:color w:val="FFFFFF" w:themeColor="background1"/>
              </w:rPr>
              <w:t>CARGO</w:t>
            </w:r>
          </w:p>
        </w:tc>
        <w:tc>
          <w:tcPr>
            <w:tcW w:w="2124" w:type="dxa"/>
            <w:shd w:val="clear" w:color="auto" w:fill="3B3B98"/>
            <w:vAlign w:val="center"/>
          </w:tcPr>
          <w:p w14:paraId="6146399B" w14:textId="4032BA3F" w:rsidR="00D95107" w:rsidRPr="0082059B" w:rsidRDefault="00D95107" w:rsidP="00341BEC">
            <w:pPr>
              <w:jc w:val="center"/>
              <w:rPr>
                <w:b/>
                <w:bCs/>
                <w:color w:val="FFFFFF" w:themeColor="background1"/>
              </w:rPr>
            </w:pPr>
            <w:r w:rsidRPr="0082059B">
              <w:rPr>
                <w:b/>
                <w:bCs/>
                <w:color w:val="FFFFFF" w:themeColor="background1"/>
              </w:rPr>
              <w:t>CPF</w:t>
            </w:r>
          </w:p>
        </w:tc>
        <w:tc>
          <w:tcPr>
            <w:tcW w:w="2124" w:type="dxa"/>
            <w:shd w:val="clear" w:color="auto" w:fill="3B3B98"/>
            <w:vAlign w:val="center"/>
          </w:tcPr>
          <w:p w14:paraId="5E1CEA7D" w14:textId="3FA22F1B" w:rsidR="00D95107" w:rsidRPr="0082059B" w:rsidRDefault="00D95107" w:rsidP="00341BEC">
            <w:pPr>
              <w:jc w:val="center"/>
              <w:rPr>
                <w:b/>
                <w:bCs/>
                <w:color w:val="FFFFFF" w:themeColor="background1"/>
              </w:rPr>
            </w:pPr>
            <w:r w:rsidRPr="0082059B">
              <w:rPr>
                <w:b/>
                <w:bCs/>
                <w:color w:val="FFFFFF" w:themeColor="background1"/>
              </w:rPr>
              <w:t>ASSINATURA</w:t>
            </w:r>
          </w:p>
        </w:tc>
      </w:tr>
      <w:tr w:rsidR="00D95107" w14:paraId="6A2ADB73" w14:textId="77777777" w:rsidTr="00341BEC">
        <w:trPr>
          <w:trHeight w:val="697"/>
        </w:trPr>
        <w:tc>
          <w:tcPr>
            <w:tcW w:w="2405" w:type="dxa"/>
            <w:vAlign w:val="center"/>
          </w:tcPr>
          <w:p w14:paraId="7CAF9B0D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1841" w:type="dxa"/>
            <w:vAlign w:val="center"/>
          </w:tcPr>
          <w:p w14:paraId="77DC4392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2124" w:type="dxa"/>
            <w:vAlign w:val="center"/>
          </w:tcPr>
          <w:p w14:paraId="58193000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2124" w:type="dxa"/>
            <w:vAlign w:val="center"/>
          </w:tcPr>
          <w:p w14:paraId="5953427F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</w:tr>
      <w:tr w:rsidR="00D95107" w14:paraId="23B55F1B" w14:textId="77777777" w:rsidTr="00341BEC">
        <w:trPr>
          <w:trHeight w:val="849"/>
        </w:trPr>
        <w:tc>
          <w:tcPr>
            <w:tcW w:w="2405" w:type="dxa"/>
            <w:vAlign w:val="center"/>
          </w:tcPr>
          <w:p w14:paraId="0931B867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1841" w:type="dxa"/>
            <w:vAlign w:val="center"/>
          </w:tcPr>
          <w:p w14:paraId="537BF0ED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2124" w:type="dxa"/>
            <w:vAlign w:val="center"/>
          </w:tcPr>
          <w:p w14:paraId="54D6A610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2124" w:type="dxa"/>
            <w:vAlign w:val="center"/>
          </w:tcPr>
          <w:p w14:paraId="49AD9837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</w:tr>
      <w:tr w:rsidR="00D95107" w14:paraId="59198BDE" w14:textId="77777777" w:rsidTr="00341BEC">
        <w:trPr>
          <w:trHeight w:val="975"/>
        </w:trPr>
        <w:tc>
          <w:tcPr>
            <w:tcW w:w="2405" w:type="dxa"/>
            <w:vAlign w:val="center"/>
          </w:tcPr>
          <w:p w14:paraId="000E6295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1841" w:type="dxa"/>
            <w:vAlign w:val="center"/>
          </w:tcPr>
          <w:p w14:paraId="42E8A474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2124" w:type="dxa"/>
            <w:vAlign w:val="center"/>
          </w:tcPr>
          <w:p w14:paraId="71F9C411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2124" w:type="dxa"/>
            <w:vAlign w:val="center"/>
          </w:tcPr>
          <w:p w14:paraId="15E3A40F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</w:tr>
    </w:tbl>
    <w:p w14:paraId="73F4C863" w14:textId="77777777" w:rsidR="0080731D" w:rsidRDefault="0080731D" w:rsidP="00BB44DD">
      <w:pPr>
        <w:rPr>
          <w:b/>
          <w:bCs/>
        </w:rPr>
      </w:pP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411E81" w:rsidRPr="006E6BAD" w14:paraId="04797426" w14:textId="77777777" w:rsidTr="00A810A3">
        <w:tc>
          <w:tcPr>
            <w:tcW w:w="8499" w:type="dxa"/>
            <w:shd w:val="clear" w:color="auto" w:fill="3B3B98"/>
          </w:tcPr>
          <w:p w14:paraId="1B2C1049" w14:textId="77777777" w:rsidR="00411E81" w:rsidRPr="00B50007" w:rsidRDefault="00411E81" w:rsidP="00A810A3">
            <w:pPr>
              <w:rPr>
                <w:b/>
                <w:bCs/>
              </w:rPr>
            </w:pPr>
            <w:r w:rsidRPr="0047448C">
              <w:rPr>
                <w:b/>
                <w:bCs/>
                <w:color w:val="FFFFFF" w:themeColor="background1"/>
              </w:rPr>
              <w:t>FUNDOS ADMINISTRADOS/GERIDOS PELA INSTITUIÇÃO PARA FUTURA DECISÃO DE INVESTIMENTOS:</w:t>
            </w:r>
          </w:p>
        </w:tc>
      </w:tr>
    </w:tbl>
    <w:p w14:paraId="42698F0D" w14:textId="77777777" w:rsidR="00411E81" w:rsidRDefault="00411E81" w:rsidP="00411E81">
      <w:pPr>
        <w:rPr>
          <w:b/>
          <w:bCs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247"/>
        <w:gridCol w:w="4247"/>
      </w:tblGrid>
      <w:tr w:rsidR="00411E81" w14:paraId="19C9499F" w14:textId="77777777" w:rsidTr="00A810A3">
        <w:tc>
          <w:tcPr>
            <w:tcW w:w="4247" w:type="dxa"/>
          </w:tcPr>
          <w:p w14:paraId="66A1B6DE" w14:textId="77777777" w:rsidR="00411E81" w:rsidRDefault="00411E81" w:rsidP="00A810A3">
            <w:pPr>
              <w:rPr>
                <w:b/>
                <w:bCs/>
              </w:rPr>
            </w:pPr>
            <w:r>
              <w:rPr>
                <w:b/>
                <w:bCs/>
                <w:color w:val="3B3B98"/>
              </w:rPr>
              <w:t>Fundo</w:t>
            </w:r>
          </w:p>
        </w:tc>
        <w:tc>
          <w:tcPr>
            <w:tcW w:w="4247" w:type="dxa"/>
          </w:tcPr>
          <w:p w14:paraId="64F157FC" w14:textId="77777777" w:rsidR="00411E81" w:rsidRDefault="00411E81" w:rsidP="00A810A3">
            <w:pPr>
              <w:rPr>
                <w:b/>
                <w:bCs/>
              </w:rPr>
            </w:pPr>
            <w:r>
              <w:rPr>
                <w:b/>
                <w:bCs/>
                <w:color w:val="3B3B98"/>
              </w:rPr>
              <w:t>CNPJ</w:t>
            </w:r>
          </w:p>
        </w:tc>
      </w:tr>
      <w:tr w:rsidR="00D62DC8" w14:paraId="1F51BC2C" w14:textId="77777777" w:rsidTr="00A810A3">
        <w:tc>
          <w:tcPr>
            <w:tcW w:w="4247" w:type="dxa"/>
          </w:tcPr>
          <w:p w14:paraId="5A1A21E4" w14:textId="2DDFAF6C" w:rsidR="00D62DC8" w:rsidRPr="00794099" w:rsidRDefault="006B50F7" w:rsidP="00A810A3">
            <w:pPr>
              <w:rPr>
                <w:color w:val="404040" w:themeColor="text1" w:themeTint="BF"/>
              </w:rPr>
            </w:pPr>
            <w:r w:rsidRPr="00794099">
              <w:rPr>
                <w:color w:val="404040" w:themeColor="text1" w:themeTint="BF"/>
              </w:rPr>
              <w:t>DAYCOVAL MULTIESTRATÉGIA FI MULTIMERCADO</w:t>
            </w:r>
          </w:p>
        </w:tc>
        <w:tc>
          <w:tcPr>
            <w:tcW w:w="4247" w:type="dxa"/>
          </w:tcPr>
          <w:p w14:paraId="37930C75" w14:textId="68E73BE2" w:rsidR="00D62DC8" w:rsidRPr="00AC1C30" w:rsidRDefault="00794099" w:rsidP="00A810A3">
            <w:pPr>
              <w:rPr>
                <w:color w:val="404040" w:themeColor="text1" w:themeTint="BF"/>
              </w:rPr>
            </w:pPr>
            <w:r w:rsidRPr="00AC1C30">
              <w:rPr>
                <w:color w:val="404040" w:themeColor="text1" w:themeTint="BF"/>
              </w:rPr>
              <w:t>09.274.058/0001-06</w:t>
            </w:r>
          </w:p>
        </w:tc>
      </w:tr>
      <w:tr w:rsidR="00D62DC8" w14:paraId="725D9D70" w14:textId="77777777" w:rsidTr="00A810A3">
        <w:tc>
          <w:tcPr>
            <w:tcW w:w="4247" w:type="dxa"/>
          </w:tcPr>
          <w:p w14:paraId="1DACAB65" w14:textId="13AFDC19" w:rsidR="00D62DC8" w:rsidRPr="00AC1C30" w:rsidRDefault="00794099" w:rsidP="00D62DC8">
            <w:pPr>
              <w:rPr>
                <w:color w:val="404040" w:themeColor="text1" w:themeTint="BF"/>
              </w:rPr>
            </w:pPr>
            <w:r w:rsidRPr="00AC1C30">
              <w:rPr>
                <w:color w:val="404040" w:themeColor="text1" w:themeTint="BF"/>
              </w:rPr>
              <w:t>DAYCOVAL IMA-B 5 FI RF</w:t>
            </w:r>
          </w:p>
        </w:tc>
        <w:tc>
          <w:tcPr>
            <w:tcW w:w="4247" w:type="dxa"/>
          </w:tcPr>
          <w:p w14:paraId="0437F924" w14:textId="73437DCF" w:rsidR="00D62DC8" w:rsidRPr="00AC1C30" w:rsidRDefault="00794099" w:rsidP="00D62DC8">
            <w:pPr>
              <w:rPr>
                <w:color w:val="404040" w:themeColor="text1" w:themeTint="BF"/>
              </w:rPr>
            </w:pPr>
            <w:r w:rsidRPr="00AC1C30">
              <w:rPr>
                <w:color w:val="404040" w:themeColor="text1" w:themeTint="BF"/>
              </w:rPr>
              <w:t>12.672.120/0001-14</w:t>
            </w:r>
          </w:p>
        </w:tc>
      </w:tr>
      <w:tr w:rsidR="00D62DC8" w14:paraId="37DA1A1A" w14:textId="77777777" w:rsidTr="00A810A3">
        <w:tc>
          <w:tcPr>
            <w:tcW w:w="4247" w:type="dxa"/>
          </w:tcPr>
          <w:p w14:paraId="0C6DB6D8" w14:textId="30F4E333" w:rsidR="00D62DC8" w:rsidRPr="00AC1C30" w:rsidRDefault="00794099" w:rsidP="00D62DC8">
            <w:pPr>
              <w:rPr>
                <w:color w:val="404040" w:themeColor="text1" w:themeTint="BF"/>
              </w:rPr>
            </w:pPr>
            <w:r w:rsidRPr="00AC1C30">
              <w:rPr>
                <w:color w:val="404040" w:themeColor="text1" w:themeTint="BF"/>
              </w:rPr>
              <w:t>DAYCOVAL IBOVESPA ATIVO FI AÇÕES</w:t>
            </w:r>
          </w:p>
        </w:tc>
        <w:tc>
          <w:tcPr>
            <w:tcW w:w="4247" w:type="dxa"/>
          </w:tcPr>
          <w:p w14:paraId="680C3856" w14:textId="300C3C0D" w:rsidR="00D62DC8" w:rsidRPr="00AC1C30" w:rsidRDefault="00794099" w:rsidP="00D62DC8">
            <w:pPr>
              <w:rPr>
                <w:color w:val="404040" w:themeColor="text1" w:themeTint="BF"/>
              </w:rPr>
            </w:pPr>
            <w:r w:rsidRPr="00AC1C30">
              <w:rPr>
                <w:color w:val="404040" w:themeColor="text1" w:themeTint="BF"/>
              </w:rPr>
              <w:t>13.155.995/0001-01</w:t>
            </w:r>
          </w:p>
        </w:tc>
      </w:tr>
      <w:tr w:rsidR="00D62DC8" w14:paraId="07300A99" w14:textId="77777777" w:rsidTr="00A810A3">
        <w:tc>
          <w:tcPr>
            <w:tcW w:w="4247" w:type="dxa"/>
          </w:tcPr>
          <w:p w14:paraId="45282FA3" w14:textId="78571DFF" w:rsidR="00D62DC8" w:rsidRPr="00AC1C30" w:rsidRDefault="00F52006" w:rsidP="00D62DC8">
            <w:pPr>
              <w:rPr>
                <w:color w:val="404040" w:themeColor="text1" w:themeTint="BF"/>
              </w:rPr>
            </w:pPr>
            <w:r w:rsidRPr="00AC1C30">
              <w:rPr>
                <w:color w:val="404040" w:themeColor="text1" w:themeTint="BF"/>
              </w:rPr>
              <w:t>DAYCOVAL CLASSIC FI RF CRÉDITO PRIVADO</w:t>
            </w:r>
          </w:p>
        </w:tc>
        <w:tc>
          <w:tcPr>
            <w:tcW w:w="4247" w:type="dxa"/>
          </w:tcPr>
          <w:p w14:paraId="31B8520A" w14:textId="24BFC545" w:rsidR="00D62DC8" w:rsidRPr="00AC1C30" w:rsidRDefault="00F52006" w:rsidP="00D62DC8">
            <w:pPr>
              <w:rPr>
                <w:color w:val="404040" w:themeColor="text1" w:themeTint="BF"/>
              </w:rPr>
            </w:pPr>
            <w:r w:rsidRPr="00AC1C30">
              <w:rPr>
                <w:color w:val="404040" w:themeColor="text1" w:themeTint="BF"/>
              </w:rPr>
              <w:t>10.783.480/0001-68</w:t>
            </w:r>
          </w:p>
        </w:tc>
      </w:tr>
      <w:tr w:rsidR="00D62DC8" w14:paraId="379771A5" w14:textId="77777777" w:rsidTr="00A810A3">
        <w:tc>
          <w:tcPr>
            <w:tcW w:w="4247" w:type="dxa"/>
          </w:tcPr>
          <w:p w14:paraId="59135590" w14:textId="5429F3B9" w:rsidR="00D62DC8" w:rsidRPr="00AC1C30" w:rsidRDefault="00F52006" w:rsidP="00D62DC8">
            <w:pPr>
              <w:rPr>
                <w:color w:val="404040" w:themeColor="text1" w:themeTint="BF"/>
              </w:rPr>
            </w:pPr>
            <w:r w:rsidRPr="00AC1C30">
              <w:rPr>
                <w:color w:val="404040" w:themeColor="text1" w:themeTint="BF"/>
              </w:rPr>
              <w:t>DAYCOVAL BOLSA AMERICANA USD BDR-AÇÕES FIF</w:t>
            </w:r>
          </w:p>
        </w:tc>
        <w:tc>
          <w:tcPr>
            <w:tcW w:w="4247" w:type="dxa"/>
          </w:tcPr>
          <w:p w14:paraId="55C6682D" w14:textId="3AE4B4B8" w:rsidR="00D62DC8" w:rsidRPr="00AC1C30" w:rsidRDefault="00F52006" w:rsidP="00D62DC8">
            <w:pPr>
              <w:rPr>
                <w:color w:val="404040" w:themeColor="text1" w:themeTint="BF"/>
              </w:rPr>
            </w:pPr>
            <w:r w:rsidRPr="00AC1C30">
              <w:rPr>
                <w:color w:val="404040" w:themeColor="text1" w:themeTint="BF"/>
              </w:rPr>
              <w:t>34.658.753/0001-00</w:t>
            </w:r>
          </w:p>
        </w:tc>
      </w:tr>
      <w:tr w:rsidR="00D62DC8" w14:paraId="58BFA666" w14:textId="77777777" w:rsidTr="00A810A3">
        <w:tc>
          <w:tcPr>
            <w:tcW w:w="4247" w:type="dxa"/>
          </w:tcPr>
          <w:p w14:paraId="674FB59B" w14:textId="2C5B46C9" w:rsidR="00D62DC8" w:rsidRPr="003C2EBD" w:rsidRDefault="00D62DC8" w:rsidP="00D62DC8">
            <w:pPr>
              <w:rPr>
                <w:color w:val="404040" w:themeColor="text1" w:themeTint="BF"/>
              </w:rPr>
            </w:pPr>
          </w:p>
        </w:tc>
        <w:tc>
          <w:tcPr>
            <w:tcW w:w="4247" w:type="dxa"/>
          </w:tcPr>
          <w:p w14:paraId="77F6F91C" w14:textId="44B767E8" w:rsidR="00D62DC8" w:rsidRPr="003C2EBD" w:rsidRDefault="00D62DC8" w:rsidP="00D62DC8">
            <w:pPr>
              <w:rPr>
                <w:color w:val="404040" w:themeColor="text1" w:themeTint="BF"/>
              </w:rPr>
            </w:pPr>
          </w:p>
        </w:tc>
      </w:tr>
    </w:tbl>
    <w:p w14:paraId="47EFA4FA" w14:textId="77777777" w:rsidR="00411E81" w:rsidRDefault="00411E81" w:rsidP="00411E81">
      <w:pPr>
        <w:rPr>
          <w:b/>
          <w:bCs/>
        </w:rPr>
      </w:pPr>
    </w:p>
    <w:p w14:paraId="4B5F1EC4" w14:textId="77777777" w:rsidR="00411E81" w:rsidRPr="00BB44DD" w:rsidRDefault="00411E81" w:rsidP="00BB44DD">
      <w:pPr>
        <w:rPr>
          <w:b/>
          <w:bCs/>
        </w:rPr>
      </w:pPr>
    </w:p>
    <w:sectPr w:rsidR="00411E81" w:rsidRPr="00BB44D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D149BA"/>
    <w:multiLevelType w:val="multilevel"/>
    <w:tmpl w:val="5E926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408DB1D"/>
    <w:multiLevelType w:val="hybridMultilevel"/>
    <w:tmpl w:val="67E083C2"/>
    <w:lvl w:ilvl="0" w:tplc="0EC60524">
      <w:start w:val="1"/>
      <w:numFmt w:val="decimal"/>
      <w:lvlText w:val="%1."/>
      <w:lvlJc w:val="left"/>
      <w:pPr>
        <w:ind w:left="720" w:hanging="360"/>
      </w:pPr>
    </w:lvl>
    <w:lvl w:ilvl="1" w:tplc="98B01C04">
      <w:start w:val="1"/>
      <w:numFmt w:val="lowerLetter"/>
      <w:lvlText w:val="%2."/>
      <w:lvlJc w:val="left"/>
      <w:pPr>
        <w:ind w:left="1440" w:hanging="360"/>
      </w:pPr>
    </w:lvl>
    <w:lvl w:ilvl="2" w:tplc="2A9C1ABE">
      <w:start w:val="1"/>
      <w:numFmt w:val="lowerRoman"/>
      <w:lvlText w:val="%3."/>
      <w:lvlJc w:val="right"/>
      <w:pPr>
        <w:ind w:left="2160" w:hanging="180"/>
      </w:pPr>
    </w:lvl>
    <w:lvl w:ilvl="3" w:tplc="4DEE03CA">
      <w:start w:val="1"/>
      <w:numFmt w:val="decimal"/>
      <w:lvlText w:val="%4."/>
      <w:lvlJc w:val="left"/>
      <w:pPr>
        <w:ind w:left="2880" w:hanging="360"/>
      </w:pPr>
    </w:lvl>
    <w:lvl w:ilvl="4" w:tplc="DBBAEE5A">
      <w:start w:val="1"/>
      <w:numFmt w:val="lowerLetter"/>
      <w:lvlText w:val="%5."/>
      <w:lvlJc w:val="left"/>
      <w:pPr>
        <w:ind w:left="3600" w:hanging="360"/>
      </w:pPr>
    </w:lvl>
    <w:lvl w:ilvl="5" w:tplc="923801FC">
      <w:start w:val="1"/>
      <w:numFmt w:val="lowerRoman"/>
      <w:lvlText w:val="%6."/>
      <w:lvlJc w:val="right"/>
      <w:pPr>
        <w:ind w:left="4320" w:hanging="180"/>
      </w:pPr>
    </w:lvl>
    <w:lvl w:ilvl="6" w:tplc="9DD8F744">
      <w:start w:val="1"/>
      <w:numFmt w:val="decimal"/>
      <w:lvlText w:val="%7."/>
      <w:lvlJc w:val="left"/>
      <w:pPr>
        <w:ind w:left="5040" w:hanging="360"/>
      </w:pPr>
    </w:lvl>
    <w:lvl w:ilvl="7" w:tplc="A61E3EC2">
      <w:start w:val="1"/>
      <w:numFmt w:val="lowerLetter"/>
      <w:lvlText w:val="%8."/>
      <w:lvlJc w:val="left"/>
      <w:pPr>
        <w:ind w:left="5760" w:hanging="360"/>
      </w:pPr>
    </w:lvl>
    <w:lvl w:ilvl="8" w:tplc="F9B2DE5E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355B7E"/>
    <w:multiLevelType w:val="multilevel"/>
    <w:tmpl w:val="983A8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36A25C3"/>
    <w:multiLevelType w:val="hybridMultilevel"/>
    <w:tmpl w:val="1FBCF33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5E6A68"/>
    <w:multiLevelType w:val="hybridMultilevel"/>
    <w:tmpl w:val="08F85D1E"/>
    <w:lvl w:ilvl="0" w:tplc="53A08E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0282873">
    <w:abstractNumId w:val="0"/>
  </w:num>
  <w:num w:numId="2" w16cid:durableId="136650435">
    <w:abstractNumId w:val="2"/>
  </w:num>
  <w:num w:numId="3" w16cid:durableId="111025234">
    <w:abstractNumId w:val="4"/>
  </w:num>
  <w:num w:numId="4" w16cid:durableId="1228955984">
    <w:abstractNumId w:val="3"/>
  </w:num>
  <w:num w:numId="5" w16cid:durableId="5628359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C11"/>
    <w:rsid w:val="000020F3"/>
    <w:rsid w:val="000114DD"/>
    <w:rsid w:val="00021AF0"/>
    <w:rsid w:val="000419C2"/>
    <w:rsid w:val="000478E8"/>
    <w:rsid w:val="00052F3F"/>
    <w:rsid w:val="0007302F"/>
    <w:rsid w:val="00074CF2"/>
    <w:rsid w:val="000B24D3"/>
    <w:rsid w:val="000C2B8B"/>
    <w:rsid w:val="000E6176"/>
    <w:rsid w:val="000F4A3B"/>
    <w:rsid w:val="000F4E48"/>
    <w:rsid w:val="00114B52"/>
    <w:rsid w:val="00127978"/>
    <w:rsid w:val="00155D8D"/>
    <w:rsid w:val="00170D9F"/>
    <w:rsid w:val="00177C3B"/>
    <w:rsid w:val="001A07C0"/>
    <w:rsid w:val="001A71C7"/>
    <w:rsid w:val="001B1A7D"/>
    <w:rsid w:val="001B2830"/>
    <w:rsid w:val="001E37C7"/>
    <w:rsid w:val="001F361D"/>
    <w:rsid w:val="00200124"/>
    <w:rsid w:val="00237256"/>
    <w:rsid w:val="00253D8C"/>
    <w:rsid w:val="002A5E0C"/>
    <w:rsid w:val="002B3057"/>
    <w:rsid w:val="002B4DAC"/>
    <w:rsid w:val="002B74AB"/>
    <w:rsid w:val="002C6825"/>
    <w:rsid w:val="002F2C11"/>
    <w:rsid w:val="00316107"/>
    <w:rsid w:val="00332FD2"/>
    <w:rsid w:val="00341BEC"/>
    <w:rsid w:val="003527AD"/>
    <w:rsid w:val="00357412"/>
    <w:rsid w:val="00361A3F"/>
    <w:rsid w:val="00374AF8"/>
    <w:rsid w:val="003804EF"/>
    <w:rsid w:val="003837CA"/>
    <w:rsid w:val="00385677"/>
    <w:rsid w:val="003873EF"/>
    <w:rsid w:val="003A48B1"/>
    <w:rsid w:val="003B303C"/>
    <w:rsid w:val="003B6B9D"/>
    <w:rsid w:val="003C02D6"/>
    <w:rsid w:val="003C1B37"/>
    <w:rsid w:val="003D15B4"/>
    <w:rsid w:val="00411E81"/>
    <w:rsid w:val="00437679"/>
    <w:rsid w:val="004472E2"/>
    <w:rsid w:val="004628C7"/>
    <w:rsid w:val="0047448C"/>
    <w:rsid w:val="004E3710"/>
    <w:rsid w:val="004E5418"/>
    <w:rsid w:val="00515879"/>
    <w:rsid w:val="00523C5E"/>
    <w:rsid w:val="00525A08"/>
    <w:rsid w:val="00566B27"/>
    <w:rsid w:val="00575897"/>
    <w:rsid w:val="005C792E"/>
    <w:rsid w:val="005E01D5"/>
    <w:rsid w:val="005E15F4"/>
    <w:rsid w:val="005E1713"/>
    <w:rsid w:val="005F5805"/>
    <w:rsid w:val="00665EA5"/>
    <w:rsid w:val="00675C8B"/>
    <w:rsid w:val="00693C84"/>
    <w:rsid w:val="006A19E0"/>
    <w:rsid w:val="006B50F7"/>
    <w:rsid w:val="006E6BAD"/>
    <w:rsid w:val="00713A19"/>
    <w:rsid w:val="00722B97"/>
    <w:rsid w:val="00736C36"/>
    <w:rsid w:val="00763641"/>
    <w:rsid w:val="00765243"/>
    <w:rsid w:val="00790CF8"/>
    <w:rsid w:val="00794099"/>
    <w:rsid w:val="007A12A0"/>
    <w:rsid w:val="007D584C"/>
    <w:rsid w:val="007F7BDB"/>
    <w:rsid w:val="0080731D"/>
    <w:rsid w:val="0082059B"/>
    <w:rsid w:val="008316CE"/>
    <w:rsid w:val="008571B7"/>
    <w:rsid w:val="0085733C"/>
    <w:rsid w:val="0085754A"/>
    <w:rsid w:val="00861FF4"/>
    <w:rsid w:val="008664DE"/>
    <w:rsid w:val="00895EB2"/>
    <w:rsid w:val="008A765C"/>
    <w:rsid w:val="00900DCD"/>
    <w:rsid w:val="00940ED8"/>
    <w:rsid w:val="00945D83"/>
    <w:rsid w:val="00973893"/>
    <w:rsid w:val="009C7BE6"/>
    <w:rsid w:val="009D4B3D"/>
    <w:rsid w:val="009E1692"/>
    <w:rsid w:val="009E3D2E"/>
    <w:rsid w:val="009F6455"/>
    <w:rsid w:val="00A31C8A"/>
    <w:rsid w:val="00A57E5A"/>
    <w:rsid w:val="00A641C5"/>
    <w:rsid w:val="00A81009"/>
    <w:rsid w:val="00AA0BB3"/>
    <w:rsid w:val="00AC1C30"/>
    <w:rsid w:val="00AD3A26"/>
    <w:rsid w:val="00AD78E7"/>
    <w:rsid w:val="00AE0BEB"/>
    <w:rsid w:val="00B0309F"/>
    <w:rsid w:val="00B12308"/>
    <w:rsid w:val="00B34D64"/>
    <w:rsid w:val="00B3609A"/>
    <w:rsid w:val="00B408CE"/>
    <w:rsid w:val="00B50007"/>
    <w:rsid w:val="00B702AA"/>
    <w:rsid w:val="00B7064F"/>
    <w:rsid w:val="00B80EAB"/>
    <w:rsid w:val="00BA026F"/>
    <w:rsid w:val="00BB44DD"/>
    <w:rsid w:val="00BC3CA4"/>
    <w:rsid w:val="00BD5A58"/>
    <w:rsid w:val="00BE6D83"/>
    <w:rsid w:val="00C17E0D"/>
    <w:rsid w:val="00C54188"/>
    <w:rsid w:val="00CC6B6D"/>
    <w:rsid w:val="00CD7682"/>
    <w:rsid w:val="00CE0FD1"/>
    <w:rsid w:val="00CE1A54"/>
    <w:rsid w:val="00D04FB0"/>
    <w:rsid w:val="00D171AE"/>
    <w:rsid w:val="00D2305E"/>
    <w:rsid w:val="00D42F33"/>
    <w:rsid w:val="00D62DC8"/>
    <w:rsid w:val="00D756FF"/>
    <w:rsid w:val="00D84CEB"/>
    <w:rsid w:val="00D9291D"/>
    <w:rsid w:val="00D95107"/>
    <w:rsid w:val="00DA1091"/>
    <w:rsid w:val="00DB48E9"/>
    <w:rsid w:val="00DC3742"/>
    <w:rsid w:val="00DD7C41"/>
    <w:rsid w:val="00DF588E"/>
    <w:rsid w:val="00E250B1"/>
    <w:rsid w:val="00E27EF9"/>
    <w:rsid w:val="00E34495"/>
    <w:rsid w:val="00E3484B"/>
    <w:rsid w:val="00E60EAF"/>
    <w:rsid w:val="00EA41D6"/>
    <w:rsid w:val="00EA7BDC"/>
    <w:rsid w:val="00ED5712"/>
    <w:rsid w:val="00EF0037"/>
    <w:rsid w:val="00F022D4"/>
    <w:rsid w:val="00F10402"/>
    <w:rsid w:val="00F11446"/>
    <w:rsid w:val="00F2645E"/>
    <w:rsid w:val="00F430F3"/>
    <w:rsid w:val="00F50F5C"/>
    <w:rsid w:val="00F52006"/>
    <w:rsid w:val="00F667F4"/>
    <w:rsid w:val="00F6717B"/>
    <w:rsid w:val="00F74539"/>
    <w:rsid w:val="00FD11EF"/>
    <w:rsid w:val="00FD3E35"/>
    <w:rsid w:val="00FD7998"/>
    <w:rsid w:val="00FE4E4F"/>
    <w:rsid w:val="00FF1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D49A4"/>
  <w15:chartTrackingRefBased/>
  <w15:docId w15:val="{F564BEF1-8721-4BD2-B77D-0C0F8B617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2F2C1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2F2C1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13A19"/>
    <w:pPr>
      <w:keepNext/>
      <w:keepLines/>
      <w:spacing w:before="40" w:after="0"/>
      <w:outlineLvl w:val="2"/>
    </w:pPr>
    <w:rPr>
      <w:rFonts w:ascii="Arial" w:eastAsiaTheme="majorEastAsia" w:hAnsi="Arial" w:cstheme="majorBidi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2F2C1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2F2C1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F2C1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F2C1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2F2C1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2F2C1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uiPriority w:val="9"/>
    <w:semiHidden/>
    <w:rsid w:val="00713A19"/>
    <w:rPr>
      <w:rFonts w:ascii="Arial" w:eastAsiaTheme="majorEastAsia" w:hAnsi="Arial" w:cstheme="majorBidi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rsid w:val="002F2C1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2F2C1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4Char">
    <w:name w:val="Título 4 Char"/>
    <w:basedOn w:val="Fontepargpadro"/>
    <w:link w:val="Ttulo4"/>
    <w:uiPriority w:val="9"/>
    <w:semiHidden/>
    <w:rsid w:val="002F2C1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2F2C11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2F2C11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2F2C11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2F2C11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2F2C1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2F2C1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2F2C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2F2C1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2F2C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2F2C1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2F2C11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2F2C11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2F2C11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F2C1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F2C11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2F2C11"/>
    <w:rPr>
      <w:b/>
      <w:bCs/>
      <w:smallCaps/>
      <w:color w:val="0F4761" w:themeColor="accent1" w:themeShade="BF"/>
      <w:spacing w:val="5"/>
    </w:rPr>
  </w:style>
  <w:style w:type="table" w:styleId="Tabelacomgrade">
    <w:name w:val="Table Grid"/>
    <w:basedOn w:val="Tabelanormal"/>
    <w:uiPriority w:val="39"/>
    <w:rsid w:val="00AA0B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052F3F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9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4ed6347-2866-4686-b5b1-c7df6d3cd541" xsi:nil="true"/>
    <lcf76f155ced4ddcb4097134ff3c332f xmlns="e591e4b8-d87e-46f2-b65d-674af47c8d4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32A78465D21943B20E6B7E93116FD5" ma:contentTypeVersion="18" ma:contentTypeDescription="Create a new document." ma:contentTypeScope="" ma:versionID="f41266f161ffc476ebe22309fcf3170b">
  <xsd:schema xmlns:xsd="http://www.w3.org/2001/XMLSchema" xmlns:xs="http://www.w3.org/2001/XMLSchema" xmlns:p="http://schemas.microsoft.com/office/2006/metadata/properties" xmlns:ns2="e591e4b8-d87e-46f2-b65d-674af47c8d4e" xmlns:ns3="54ed6347-2866-4686-b5b1-c7df6d3cd541" targetNamespace="http://schemas.microsoft.com/office/2006/metadata/properties" ma:root="true" ma:fieldsID="27c930619905d402a340c3bf551fec36" ns2:_="" ns3:_="">
    <xsd:import namespace="e591e4b8-d87e-46f2-b65d-674af47c8d4e"/>
    <xsd:import namespace="54ed6347-2866-4686-b5b1-c7df6d3cd5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91e4b8-d87e-46f2-b65d-674af47c8d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fba4ee3-10d2-4154-bd15-9737ba1bb15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ed6347-2866-4686-b5b1-c7df6d3cd54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54531cb-074b-4b10-9c47-7c0dff069ec7}" ma:internalName="TaxCatchAll" ma:showField="CatchAllData" ma:web="54ed6347-2866-4686-b5b1-c7df6d3cd5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10B41E2-4D75-4899-A638-C21D36E7B52F}">
  <ds:schemaRefs>
    <ds:schemaRef ds:uri="http://schemas.microsoft.com/office/2006/metadata/properties"/>
    <ds:schemaRef ds:uri="http://schemas.microsoft.com/office/infopath/2007/PartnerControls"/>
    <ds:schemaRef ds:uri="54ed6347-2866-4686-b5b1-c7df6d3cd541"/>
    <ds:schemaRef ds:uri="e591e4b8-d87e-46f2-b65d-674af47c8d4e"/>
  </ds:schemaRefs>
</ds:datastoreItem>
</file>

<file path=customXml/itemProps2.xml><?xml version="1.0" encoding="utf-8"?>
<ds:datastoreItem xmlns:ds="http://schemas.openxmlformats.org/officeDocument/2006/customXml" ds:itemID="{4555B484-50EF-457E-BF60-3E1F820C1B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57FFC6-1FAE-4A1F-8315-BFC37C8C82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91e4b8-d87e-46f2-b65d-674af47c8d4e"/>
    <ds:schemaRef ds:uri="54ed6347-2866-4686-b5b1-c7df6d3cd5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640</TotalTime>
  <Pages>9</Pages>
  <Words>3808</Words>
  <Characters>20567</Characters>
  <Application>Microsoft Office Word</Application>
  <DocSecurity>0</DocSecurity>
  <Lines>171</Lines>
  <Paragraphs>48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Gustavo Leite</dc:creator>
  <cp:keywords/>
  <dc:description/>
  <cp:lastModifiedBy>Rodolpho Malafaia</cp:lastModifiedBy>
  <cp:revision>136</cp:revision>
  <dcterms:created xsi:type="dcterms:W3CDTF">2024-09-04T17:09:00Z</dcterms:created>
  <dcterms:modified xsi:type="dcterms:W3CDTF">2025-08-19T21:27:00Z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0x0101008032A78465D21943B20E6B7E93116FD5</vt:lpwstr>
  </property>
  <property fmtid="{D5CDD505-2E9C-101B-9397-08002B2CF9AE}" pid="3" name="MediaServiceImageTags">
    <vt:lpwstr/>
  </property>
</Properties>
</file>